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23E" w:rsidRDefault="001A423E" w:rsidP="001A423E">
      <w:pPr>
        <w:pStyle w:val="4"/>
        <w:rPr>
          <w:rFonts w:ascii="Arial Narrow" w:hAnsi="Arial Narrow"/>
          <w:lang w:val="en-US"/>
        </w:rPr>
      </w:pPr>
    </w:p>
    <w:p w:rsidR="001A423E" w:rsidRPr="0015043C" w:rsidRDefault="001A423E" w:rsidP="001A423E">
      <w:pPr>
        <w:pStyle w:val="4"/>
        <w:rPr>
          <w:rFonts w:ascii="Arial Narrow" w:hAnsi="Arial Narrow"/>
        </w:rPr>
      </w:pPr>
      <w:r w:rsidRPr="0015043C">
        <w:rPr>
          <w:rFonts w:ascii="Arial Narrow" w:hAnsi="Arial Narrow"/>
        </w:rPr>
        <w:t xml:space="preserve">ΔΗΜΟΣΙΟ ΧΡΕΟΣ – ΕΓΓΥΗΣΕΙΣ </w:t>
      </w:r>
    </w:p>
    <w:p w:rsidR="001A423E" w:rsidRDefault="001A423E" w:rsidP="001A423E">
      <w:pPr>
        <w:jc w:val="both"/>
        <w:rPr>
          <w:sz w:val="22"/>
          <w:szCs w:val="22"/>
        </w:rPr>
      </w:pPr>
    </w:p>
    <w:p w:rsidR="00C100B7" w:rsidRPr="0018754F" w:rsidRDefault="00C100B7" w:rsidP="001A423E">
      <w:pPr>
        <w:jc w:val="both"/>
        <w:rPr>
          <w:sz w:val="22"/>
          <w:szCs w:val="22"/>
        </w:rPr>
      </w:pPr>
    </w:p>
    <w:p w:rsidR="001A423E" w:rsidRPr="0015043C" w:rsidRDefault="001A423E" w:rsidP="001A423E">
      <w:pPr>
        <w:jc w:val="both"/>
        <w:rPr>
          <w:sz w:val="22"/>
          <w:szCs w:val="22"/>
        </w:rPr>
      </w:pPr>
    </w:p>
    <w:p w:rsidR="001A423E" w:rsidRPr="0015043C" w:rsidRDefault="001A423E" w:rsidP="001A423E">
      <w:pPr>
        <w:pStyle w:val="5"/>
        <w:shd w:val="clear" w:color="auto" w:fill="595959" w:themeFill="text1" w:themeFillTint="A6"/>
        <w:rPr>
          <w:rFonts w:ascii="Arial Narrow" w:hAnsi="Arial Narrow"/>
        </w:rPr>
      </w:pPr>
      <w:r w:rsidRPr="0015043C">
        <w:rPr>
          <w:rFonts w:ascii="Arial Narrow" w:hAnsi="Arial Narrow"/>
        </w:rPr>
        <w:t>ΔΗΜΟΣΙΟ ΧΡΕΟΣ</w:t>
      </w:r>
    </w:p>
    <w:p w:rsidR="001A423E" w:rsidRPr="0015043C" w:rsidRDefault="001A423E" w:rsidP="001A423E">
      <w:pPr>
        <w:jc w:val="both"/>
        <w:rPr>
          <w:sz w:val="22"/>
          <w:szCs w:val="22"/>
        </w:rPr>
      </w:pPr>
    </w:p>
    <w:p w:rsidR="002D2E90" w:rsidRPr="00D95E67" w:rsidRDefault="00C100B7" w:rsidP="002D2E90">
      <w:pPr>
        <w:jc w:val="both"/>
        <w:rPr>
          <w:sz w:val="22"/>
          <w:szCs w:val="22"/>
        </w:rPr>
      </w:pPr>
      <w:r>
        <w:rPr>
          <w:sz w:val="22"/>
          <w:szCs w:val="22"/>
        </w:rPr>
        <w:t xml:space="preserve">Οι εσωτερικές και διεθνείς εξελίξεις κατά τη διάρκεια του έτους </w:t>
      </w:r>
      <w:r w:rsidR="002D2E90" w:rsidRPr="00D95E67">
        <w:rPr>
          <w:sz w:val="22"/>
          <w:szCs w:val="22"/>
        </w:rPr>
        <w:t>δημιούργησαν ευνοϊκές συνθήκες για την εμπέδωση της απρόσκοπτης χρηματοδότησης του Ελληνικού Δημοσίου μέσω των αγορών. Οι χρηματοδοτικές ανάγκες του τρέχοντος έτους, όπως αυτές περιγράφονται στο πρόγραμμα δανεισμού του Ο</w:t>
      </w:r>
      <w:r w:rsidR="007E5034">
        <w:rPr>
          <w:sz w:val="22"/>
          <w:szCs w:val="22"/>
        </w:rPr>
        <w:t>ργανισμού Διαχείρισης Δημοσίου Χρέους (Ο</w:t>
      </w:r>
      <w:r w:rsidR="002D2E90" w:rsidRPr="00D95E67">
        <w:rPr>
          <w:sz w:val="22"/>
          <w:szCs w:val="22"/>
        </w:rPr>
        <w:t>ΔΔΗΧ</w:t>
      </w:r>
      <w:r w:rsidR="007E5034">
        <w:rPr>
          <w:sz w:val="22"/>
          <w:szCs w:val="22"/>
        </w:rPr>
        <w:t>)</w:t>
      </w:r>
      <w:r w:rsidR="002D2E90" w:rsidRPr="00D95E67">
        <w:rPr>
          <w:sz w:val="22"/>
          <w:szCs w:val="22"/>
        </w:rPr>
        <w:t xml:space="preserve">, </w:t>
      </w:r>
      <w:r w:rsidR="002D2E90">
        <w:rPr>
          <w:sz w:val="22"/>
          <w:szCs w:val="22"/>
        </w:rPr>
        <w:t>καλύφθηκαν εξ ολοκλήρου από τέσσερι</w:t>
      </w:r>
      <w:r w:rsidR="002D2E90" w:rsidRPr="00D95E67">
        <w:rPr>
          <w:sz w:val="22"/>
          <w:szCs w:val="22"/>
        </w:rPr>
        <w:t>ς επιτυχημένες εκδόσεις ομολόγων σταθερού επιτοκίου</w:t>
      </w:r>
      <w:r w:rsidR="00A71BEA">
        <w:rPr>
          <w:sz w:val="22"/>
          <w:szCs w:val="22"/>
        </w:rPr>
        <w:t>,</w:t>
      </w:r>
      <w:r w:rsidR="002D2E90" w:rsidRPr="00D95E67">
        <w:rPr>
          <w:sz w:val="22"/>
          <w:szCs w:val="22"/>
        </w:rPr>
        <w:t xml:space="preserve"> οι οποίες εμπλούτισαν περαιτέρω την καμπύλη δανεισμού τίτλων του Ελληνικού Δημοσίου. Επιπλέον, σηματοδότησαν την πρώτη φορά που η Ελλ</w:t>
      </w:r>
      <w:r w:rsidR="002D2E90" w:rsidRPr="00D95E67">
        <w:rPr>
          <w:sz w:val="22"/>
          <w:szCs w:val="22"/>
        </w:rPr>
        <w:t>η</w:t>
      </w:r>
      <w:r w:rsidR="002D2E90" w:rsidRPr="00D95E67">
        <w:rPr>
          <w:sz w:val="22"/>
          <w:szCs w:val="22"/>
        </w:rPr>
        <w:t>νική Δημοκρατία υλοποίησε τ</w:t>
      </w:r>
      <w:r w:rsidR="002D2E90">
        <w:rPr>
          <w:sz w:val="22"/>
          <w:szCs w:val="22"/>
        </w:rPr>
        <w:t>έσσερι</w:t>
      </w:r>
      <w:r w:rsidR="002D2E90" w:rsidRPr="00D95E67">
        <w:rPr>
          <w:sz w:val="22"/>
          <w:szCs w:val="22"/>
        </w:rPr>
        <w:t>ς εκδόσεις ομολόγων με τη μέθοδο της κοινοπραξίας μέσα σε ένα έτος από το 2010, επιδεικνύοντας την ομαλοποίηση της πρόσβασης της Ελλάδας στις διεθνείς κεφ</w:t>
      </w:r>
      <w:r w:rsidR="002D2E90" w:rsidRPr="00D95E67">
        <w:rPr>
          <w:sz w:val="22"/>
          <w:szCs w:val="22"/>
        </w:rPr>
        <w:t>α</w:t>
      </w:r>
      <w:r w:rsidR="002D2E90" w:rsidRPr="00D95E67">
        <w:rPr>
          <w:sz w:val="22"/>
          <w:szCs w:val="22"/>
        </w:rPr>
        <w:t xml:space="preserve">λαιαγορές, με αξιοσημείωτο γεγονός την έκδοση δεκαετούς ομολόγου, επίσης, για πρώτη φορά από το 2010. </w:t>
      </w:r>
    </w:p>
    <w:p w:rsidR="002D2E90" w:rsidRPr="00D95E67" w:rsidRDefault="002D2E90" w:rsidP="002D2E90">
      <w:pPr>
        <w:jc w:val="both"/>
        <w:rPr>
          <w:sz w:val="22"/>
          <w:szCs w:val="22"/>
        </w:rPr>
      </w:pPr>
    </w:p>
    <w:p w:rsidR="00550B4B" w:rsidRDefault="0034128E" w:rsidP="002D2E90">
      <w:pPr>
        <w:jc w:val="both"/>
        <w:rPr>
          <w:sz w:val="22"/>
          <w:szCs w:val="22"/>
        </w:rPr>
      </w:pPr>
      <w:r>
        <w:rPr>
          <w:sz w:val="22"/>
          <w:szCs w:val="22"/>
        </w:rPr>
        <w:t>Ενδεικτική</w:t>
      </w:r>
      <w:r w:rsidR="002D2E90" w:rsidRPr="00D95E67">
        <w:rPr>
          <w:sz w:val="22"/>
          <w:szCs w:val="22"/>
        </w:rPr>
        <w:t xml:space="preserve"> της αυξανόμενης εμπιστοσύνης των επενδυτών στα ελληνικά ομόλογα </w:t>
      </w:r>
      <w:r w:rsidR="00550B4B">
        <w:rPr>
          <w:sz w:val="22"/>
          <w:szCs w:val="22"/>
        </w:rPr>
        <w:t xml:space="preserve">- με τη σημαντική μείωση των επιτοκίων των εκδόσεων του δεκαετούς ομολόγου από το 3,875% τον Μάρτιο του 2019 στο 1,5% τον Οκτώβριο του 2019 - </w:t>
      </w:r>
      <w:r w:rsidR="002D2E90" w:rsidRPr="00D95E67">
        <w:rPr>
          <w:sz w:val="22"/>
          <w:szCs w:val="22"/>
        </w:rPr>
        <w:t>ήταν η μεγάλη συμμετοχή στο βιβλίο προσφορών των κοινοπρ</w:t>
      </w:r>
      <w:r w:rsidR="002D2E90" w:rsidRPr="00D95E67">
        <w:rPr>
          <w:sz w:val="22"/>
          <w:szCs w:val="22"/>
        </w:rPr>
        <w:t>α</w:t>
      </w:r>
      <w:r w:rsidR="002D2E90" w:rsidRPr="00D95E67">
        <w:rPr>
          <w:sz w:val="22"/>
          <w:szCs w:val="22"/>
        </w:rPr>
        <w:t>ξιών, με διαρκώς αυξανόμενο το ποσοστό των λεγόμενων τελικών επενδυτών. Εντυπωσιακή ήταν η πορεία διαπραγμάτευσης των ελληνικών ομολόγων στη δευτερογενή αγορά</w:t>
      </w:r>
      <w:r>
        <w:rPr>
          <w:sz w:val="22"/>
          <w:szCs w:val="22"/>
        </w:rPr>
        <w:t>,</w:t>
      </w:r>
      <w:r w:rsidR="002D2E90" w:rsidRPr="00D95E67">
        <w:rPr>
          <w:sz w:val="22"/>
          <w:szCs w:val="22"/>
        </w:rPr>
        <w:t xml:space="preserve"> η οποία, συνεπικουρο</w:t>
      </w:r>
      <w:r w:rsidR="002D2E90" w:rsidRPr="00D95E67">
        <w:rPr>
          <w:sz w:val="22"/>
          <w:szCs w:val="22"/>
        </w:rPr>
        <w:t>ύ</w:t>
      </w:r>
      <w:r w:rsidR="002D2E90" w:rsidRPr="00D95E67">
        <w:rPr>
          <w:sz w:val="22"/>
          <w:szCs w:val="22"/>
        </w:rPr>
        <w:t>μενη από τη διεθνή οικονομική συγκυρία συνεχούς πτώσεως των επιτοκίων, αποτυπώνεται</w:t>
      </w:r>
      <w:r w:rsidR="007E5034">
        <w:rPr>
          <w:sz w:val="22"/>
          <w:szCs w:val="22"/>
        </w:rPr>
        <w:t xml:space="preserve"> </w:t>
      </w:r>
      <w:r w:rsidR="002D2E90" w:rsidRPr="00D95E67">
        <w:rPr>
          <w:sz w:val="22"/>
          <w:szCs w:val="22"/>
        </w:rPr>
        <w:t>στις τρ</w:t>
      </w:r>
      <w:r w:rsidR="002D2E90" w:rsidRPr="00D95E67">
        <w:rPr>
          <w:sz w:val="22"/>
          <w:szCs w:val="22"/>
        </w:rPr>
        <w:t>έ</w:t>
      </w:r>
      <w:r w:rsidR="002D2E90" w:rsidRPr="00D95E67">
        <w:rPr>
          <w:sz w:val="22"/>
          <w:szCs w:val="22"/>
        </w:rPr>
        <w:t>χουσες, ιστορικά χαμηλές, αποδόσεις τους που οδηγεί στη μείωση του κόστους δανεισμού του Ελλ</w:t>
      </w:r>
      <w:r w:rsidR="002D2E90" w:rsidRPr="00D95E67">
        <w:rPr>
          <w:sz w:val="22"/>
          <w:szCs w:val="22"/>
        </w:rPr>
        <w:t>η</w:t>
      </w:r>
      <w:r w:rsidR="002D2E90" w:rsidRPr="00D95E67">
        <w:rPr>
          <w:sz w:val="22"/>
          <w:szCs w:val="22"/>
        </w:rPr>
        <w:t>νικού Δημοσίου</w:t>
      </w:r>
      <w:r>
        <w:rPr>
          <w:sz w:val="22"/>
          <w:szCs w:val="22"/>
        </w:rPr>
        <w:t>,</w:t>
      </w:r>
      <w:r w:rsidR="002D2E90" w:rsidRPr="00D95E67">
        <w:rPr>
          <w:sz w:val="22"/>
          <w:szCs w:val="22"/>
        </w:rPr>
        <w:t xml:space="preserve"> έχοντας άμεσο θετικό αντίκτυπο στο κόστος δανεισμού των επιχειρήσεων και των πιστωτικών ιδρυμάτων.</w:t>
      </w:r>
      <w:r w:rsidR="002D2E90" w:rsidRPr="004F4390">
        <w:rPr>
          <w:sz w:val="22"/>
          <w:szCs w:val="22"/>
        </w:rPr>
        <w:t xml:space="preserve"> </w:t>
      </w:r>
      <w:r w:rsidR="002D2E90">
        <w:rPr>
          <w:sz w:val="22"/>
          <w:szCs w:val="22"/>
        </w:rPr>
        <w:t>Αξιοσημείωτο ιστορικό γεγονός είναι επίσης η διαμόρφωση αρνητικού επιτ</w:t>
      </w:r>
      <w:r w:rsidR="002D2E90">
        <w:rPr>
          <w:sz w:val="22"/>
          <w:szCs w:val="22"/>
        </w:rPr>
        <w:t>ο</w:t>
      </w:r>
      <w:r w:rsidR="002D2E90">
        <w:rPr>
          <w:sz w:val="22"/>
          <w:szCs w:val="22"/>
        </w:rPr>
        <w:t>κίου, για πρώτη φορά, στις δημοπρασίες των τρίμηνων εντόκων γραμματίων του Οκτωβρίου και του Νοεμβρίου.</w:t>
      </w:r>
    </w:p>
    <w:p w:rsidR="00550B4B" w:rsidRDefault="00550B4B" w:rsidP="002D2E90">
      <w:pPr>
        <w:jc w:val="both"/>
        <w:rPr>
          <w:sz w:val="22"/>
          <w:szCs w:val="22"/>
        </w:rPr>
      </w:pPr>
    </w:p>
    <w:p w:rsidR="002D2E90" w:rsidRPr="004F4390" w:rsidRDefault="00550B4B" w:rsidP="002D2E90">
      <w:pPr>
        <w:jc w:val="both"/>
        <w:rPr>
          <w:sz w:val="22"/>
          <w:szCs w:val="22"/>
        </w:rPr>
      </w:pPr>
      <w:r>
        <w:rPr>
          <w:sz w:val="22"/>
          <w:szCs w:val="22"/>
        </w:rPr>
        <w:t>Τα ανωτέρω σε συνδυασμό με την άρση των κεφαλαιακών περιορισμών και την αποδοχή του ελλην</w:t>
      </w:r>
      <w:r>
        <w:rPr>
          <w:sz w:val="22"/>
          <w:szCs w:val="22"/>
        </w:rPr>
        <w:t>ι</w:t>
      </w:r>
      <w:r>
        <w:rPr>
          <w:sz w:val="22"/>
          <w:szCs w:val="22"/>
        </w:rPr>
        <w:t>κού αιτήματος για την αποπληρωμή του ακριβότερου μέρους των δανείων προς το ΔΝΤ, οδηγούν την Ελληνική οικονομία στην επιστροφή στην κανονικότητα και βελτιώνουν σημαντικά τη δυνατότητα αποπληρωμής του δημόσιου χρέους.</w:t>
      </w:r>
    </w:p>
    <w:p w:rsidR="002D2E90" w:rsidRPr="00D95E67" w:rsidRDefault="002D2E90" w:rsidP="002D2E90">
      <w:pPr>
        <w:jc w:val="both"/>
        <w:rPr>
          <w:sz w:val="22"/>
          <w:szCs w:val="22"/>
        </w:rPr>
      </w:pPr>
    </w:p>
    <w:p w:rsidR="002D2E90" w:rsidRPr="00D95E67" w:rsidRDefault="00C100B7" w:rsidP="002D2E90">
      <w:pPr>
        <w:jc w:val="both"/>
        <w:rPr>
          <w:sz w:val="22"/>
          <w:szCs w:val="22"/>
        </w:rPr>
      </w:pPr>
      <w:r w:rsidRPr="00D95E67">
        <w:rPr>
          <w:sz w:val="22"/>
          <w:szCs w:val="22"/>
        </w:rPr>
        <w:t xml:space="preserve">Οι </w:t>
      </w:r>
      <w:r w:rsidR="002D2E90" w:rsidRPr="00D95E67">
        <w:rPr>
          <w:sz w:val="22"/>
          <w:szCs w:val="22"/>
        </w:rPr>
        <w:t>χρηματοδοτικές ανάγκες του Ελληνικού Δημοσίου κατά τη διάρκεια του 2019 καλύφθηκαν από κοινοπρακτικές εκδόσεις ομολόγων σταθερού επιτοκίου, πενταετούς, δεκαετούς και επταετούς διά</w:t>
      </w:r>
      <w:r w:rsidR="002D2E90" w:rsidRPr="00D95E67">
        <w:rPr>
          <w:sz w:val="22"/>
          <w:szCs w:val="22"/>
        </w:rPr>
        <w:t>ρ</w:t>
      </w:r>
      <w:r w:rsidR="002D2E90" w:rsidRPr="00D95E67">
        <w:rPr>
          <w:sz w:val="22"/>
          <w:szCs w:val="22"/>
        </w:rPr>
        <w:t xml:space="preserve">κειας, συνολικού ύψους </w:t>
      </w:r>
      <w:r w:rsidR="002D2E90">
        <w:rPr>
          <w:sz w:val="22"/>
          <w:szCs w:val="22"/>
        </w:rPr>
        <w:t>9</w:t>
      </w:r>
      <w:r w:rsidR="002D2E90" w:rsidRPr="00D95E67">
        <w:rPr>
          <w:sz w:val="22"/>
          <w:szCs w:val="22"/>
        </w:rPr>
        <w:t>.</w:t>
      </w:r>
      <w:r w:rsidR="002D2E90">
        <w:rPr>
          <w:sz w:val="22"/>
          <w:szCs w:val="22"/>
        </w:rPr>
        <w:t>0</w:t>
      </w:r>
      <w:r w:rsidR="002D2E90" w:rsidRPr="00D95E67">
        <w:rPr>
          <w:sz w:val="22"/>
          <w:szCs w:val="22"/>
        </w:rPr>
        <w:t>00 εκατ. ευρώ και αναχρηματοδότηση βραχυπρόθεσμου χρέους. Ο βραχ</w:t>
      </w:r>
      <w:r w:rsidR="002D2E90" w:rsidRPr="00D95E67">
        <w:rPr>
          <w:sz w:val="22"/>
          <w:szCs w:val="22"/>
        </w:rPr>
        <w:t>υ</w:t>
      </w:r>
      <w:r w:rsidR="002D2E90" w:rsidRPr="00D95E67">
        <w:rPr>
          <w:sz w:val="22"/>
          <w:szCs w:val="22"/>
        </w:rPr>
        <w:t>πρόθεσμος δανεισμός του Ελληνικού Δημοσίου πραγματοποιήθηκε μέσω εκδόσεων εντόκων γραμμ</w:t>
      </w:r>
      <w:r w:rsidR="002D2E90" w:rsidRPr="00D95E67">
        <w:rPr>
          <w:sz w:val="22"/>
          <w:szCs w:val="22"/>
        </w:rPr>
        <w:t>α</w:t>
      </w:r>
      <w:r w:rsidR="002D2E90" w:rsidRPr="00D95E67">
        <w:rPr>
          <w:sz w:val="22"/>
          <w:szCs w:val="22"/>
        </w:rPr>
        <w:t>τίων τρίμηνης, εξάμηνης και ετήσιας διάρκειας, καθώς επίσης και μέσω πράξεων διαχείρισης ταμει</w:t>
      </w:r>
      <w:r w:rsidR="002D2E90" w:rsidRPr="00D95E67">
        <w:rPr>
          <w:sz w:val="22"/>
          <w:szCs w:val="22"/>
        </w:rPr>
        <w:t>α</w:t>
      </w:r>
      <w:r w:rsidR="002D2E90" w:rsidRPr="00D95E67">
        <w:rPr>
          <w:sz w:val="22"/>
          <w:szCs w:val="22"/>
        </w:rPr>
        <w:t xml:space="preserve">κής ρευστότητας υπό τη μορφή repo agreements, τις οποίες συνάπτει ο ΟΔΔΗΧ για την αξιοποίηση των διαθεσίμων, κυρίως, των φορέων της Γενικής Κυβέρνησης. </w:t>
      </w:r>
    </w:p>
    <w:p w:rsidR="002D2E90" w:rsidRPr="00D95E67" w:rsidRDefault="002D2E90" w:rsidP="002D2E90">
      <w:pPr>
        <w:jc w:val="both"/>
        <w:rPr>
          <w:sz w:val="22"/>
          <w:szCs w:val="22"/>
        </w:rPr>
      </w:pPr>
    </w:p>
    <w:p w:rsidR="002D2E90" w:rsidRPr="00D95E67" w:rsidRDefault="002D2E90" w:rsidP="002D2E90">
      <w:pPr>
        <w:jc w:val="both"/>
        <w:rPr>
          <w:sz w:val="22"/>
          <w:szCs w:val="22"/>
        </w:rPr>
      </w:pPr>
      <w:r w:rsidRPr="00D95E67">
        <w:rPr>
          <w:sz w:val="22"/>
          <w:szCs w:val="22"/>
        </w:rPr>
        <w:t>Σ</w:t>
      </w:r>
      <w:r w:rsidR="004F5E49">
        <w:rPr>
          <w:sz w:val="22"/>
          <w:szCs w:val="22"/>
        </w:rPr>
        <w:t>τις 30/9/2019</w:t>
      </w:r>
      <w:r w:rsidRPr="004B0624">
        <w:rPr>
          <w:sz w:val="22"/>
          <w:szCs w:val="22"/>
        </w:rPr>
        <w:t xml:space="preserve"> το σύνολο των δανείων </w:t>
      </w:r>
      <w:r w:rsidR="004F5E49">
        <w:rPr>
          <w:sz w:val="22"/>
          <w:szCs w:val="22"/>
        </w:rPr>
        <w:t xml:space="preserve"> που χορηγήθηκαν από τον Μηχανισμό Στήριξης ανήλθε σε 251.703,0 εκατ. ευρώ, εκ των οποίων τα δάνεια από το Διεθνές Νομισματικό Ταμείο διαμορφώθηκαν σε 8.433,0 εκατ. ευρώ.</w:t>
      </w:r>
    </w:p>
    <w:p w:rsidR="00550B4B" w:rsidRDefault="00550B4B" w:rsidP="002D2E90">
      <w:pPr>
        <w:jc w:val="both"/>
      </w:pPr>
    </w:p>
    <w:p w:rsidR="00C100B7" w:rsidRDefault="00C100B7" w:rsidP="002D2E90">
      <w:pPr>
        <w:jc w:val="both"/>
      </w:pPr>
    </w:p>
    <w:p w:rsidR="00C100B7" w:rsidRDefault="00C100B7" w:rsidP="002D2E90">
      <w:pPr>
        <w:jc w:val="both"/>
      </w:pPr>
    </w:p>
    <w:p w:rsidR="00C100B7" w:rsidRDefault="00C100B7" w:rsidP="002D2E90">
      <w:pPr>
        <w:jc w:val="both"/>
      </w:pPr>
    </w:p>
    <w:p w:rsidR="00C100B7" w:rsidRPr="00FD2D6C" w:rsidRDefault="00C100B7" w:rsidP="002D2E90">
      <w:pPr>
        <w:jc w:val="both"/>
      </w:pPr>
    </w:p>
    <w:p w:rsidR="002D2E90" w:rsidRPr="0015043C" w:rsidRDefault="002D2E90" w:rsidP="002D2E90">
      <w:pPr>
        <w:jc w:val="both"/>
        <w:rPr>
          <w:sz w:val="22"/>
          <w:szCs w:val="22"/>
        </w:rPr>
      </w:pPr>
    </w:p>
    <w:p w:rsidR="002D2E90" w:rsidRPr="0015043C" w:rsidRDefault="002D2E90" w:rsidP="002D2E90">
      <w:pPr>
        <w:shd w:val="clear" w:color="auto" w:fill="595959" w:themeFill="text1" w:themeFillTint="A6"/>
        <w:jc w:val="both"/>
        <w:rPr>
          <w:rFonts w:ascii="Arial Narrow" w:hAnsi="Arial Narrow"/>
          <w:b/>
          <w:bCs/>
          <w:color w:val="FFFFFF"/>
          <w:sz w:val="26"/>
          <w:szCs w:val="22"/>
        </w:rPr>
      </w:pPr>
      <w:r w:rsidRPr="0015043C">
        <w:rPr>
          <w:rFonts w:ascii="Arial Narrow" w:hAnsi="Arial Narrow"/>
          <w:b/>
          <w:bCs/>
          <w:color w:val="FFFFFF"/>
          <w:sz w:val="26"/>
          <w:szCs w:val="22"/>
        </w:rPr>
        <w:lastRenderedPageBreak/>
        <w:t>1.</w:t>
      </w:r>
      <w:r w:rsidRPr="0015043C">
        <w:rPr>
          <w:rFonts w:ascii="Arial Narrow" w:hAnsi="Arial Narrow"/>
          <w:b/>
          <w:bCs/>
          <w:color w:val="FFFFFF"/>
          <w:sz w:val="26"/>
          <w:szCs w:val="22"/>
        </w:rPr>
        <w:tab/>
        <w:t xml:space="preserve">Χρέος Κεντρικής </w:t>
      </w:r>
      <w:r>
        <w:rPr>
          <w:rFonts w:ascii="Arial Narrow" w:hAnsi="Arial Narrow"/>
          <w:b/>
          <w:bCs/>
          <w:color w:val="FFFFFF"/>
          <w:sz w:val="26"/>
          <w:szCs w:val="22"/>
        </w:rPr>
        <w:t xml:space="preserve">Διοίκησης </w:t>
      </w:r>
      <w:r w:rsidRPr="0015043C">
        <w:rPr>
          <w:rFonts w:ascii="Arial Narrow" w:hAnsi="Arial Narrow"/>
          <w:b/>
          <w:bCs/>
          <w:color w:val="FFFFFF"/>
          <w:sz w:val="26"/>
          <w:szCs w:val="22"/>
        </w:rPr>
        <w:t>και Γενικής Κυβέρνησης</w:t>
      </w:r>
    </w:p>
    <w:p w:rsidR="002D2E90" w:rsidRPr="00133A8F" w:rsidRDefault="002D2E90" w:rsidP="002D2E90">
      <w:pPr>
        <w:jc w:val="both"/>
        <w:rPr>
          <w:sz w:val="22"/>
          <w:szCs w:val="22"/>
        </w:rPr>
      </w:pPr>
    </w:p>
    <w:p w:rsidR="002D2E90" w:rsidRPr="006E60EA" w:rsidRDefault="002D2E90" w:rsidP="002D2E90">
      <w:pPr>
        <w:jc w:val="both"/>
        <w:rPr>
          <w:sz w:val="22"/>
          <w:szCs w:val="22"/>
        </w:rPr>
      </w:pPr>
      <w:r w:rsidRPr="006E60EA">
        <w:rPr>
          <w:sz w:val="22"/>
          <w:szCs w:val="22"/>
        </w:rPr>
        <w:t>Το χρέος της Κεντρικής Διοίκησης εκτιμάται ότι θα διαμορφωθεί στα 3</w:t>
      </w:r>
      <w:r>
        <w:rPr>
          <w:sz w:val="22"/>
          <w:szCs w:val="22"/>
        </w:rPr>
        <w:t>5</w:t>
      </w:r>
      <w:r w:rsidRPr="00B06499">
        <w:rPr>
          <w:sz w:val="22"/>
          <w:szCs w:val="22"/>
        </w:rPr>
        <w:t>0</w:t>
      </w:r>
      <w:r w:rsidRPr="006E60EA">
        <w:rPr>
          <w:sz w:val="22"/>
          <w:szCs w:val="22"/>
        </w:rPr>
        <w:t>.</w:t>
      </w:r>
      <w:r w:rsidRPr="00B06499">
        <w:rPr>
          <w:sz w:val="22"/>
          <w:szCs w:val="22"/>
        </w:rPr>
        <w:t>96</w:t>
      </w:r>
      <w:r>
        <w:rPr>
          <w:sz w:val="22"/>
          <w:szCs w:val="22"/>
        </w:rPr>
        <w:t>0</w:t>
      </w:r>
      <w:r w:rsidRPr="006E60EA">
        <w:rPr>
          <w:sz w:val="22"/>
          <w:szCs w:val="22"/>
        </w:rPr>
        <w:t xml:space="preserve"> εκατ. ευρώ ή 1</w:t>
      </w:r>
      <w:r w:rsidRPr="00B06499">
        <w:rPr>
          <w:sz w:val="22"/>
          <w:szCs w:val="22"/>
        </w:rPr>
        <w:t>84</w:t>
      </w:r>
      <w:r w:rsidRPr="006E60EA">
        <w:rPr>
          <w:sz w:val="22"/>
          <w:szCs w:val="22"/>
        </w:rPr>
        <w:t>,</w:t>
      </w:r>
      <w:r w:rsidRPr="00B06499">
        <w:rPr>
          <w:sz w:val="22"/>
          <w:szCs w:val="22"/>
        </w:rPr>
        <w:t>7</w:t>
      </w:r>
      <w:r w:rsidRPr="006E60EA">
        <w:rPr>
          <w:sz w:val="22"/>
          <w:szCs w:val="22"/>
        </w:rPr>
        <w:t>% ως ποσοστό του ΑΕΠ στο τέλος του 201</w:t>
      </w:r>
      <w:r w:rsidRPr="00997789">
        <w:rPr>
          <w:sz w:val="22"/>
          <w:szCs w:val="22"/>
        </w:rPr>
        <w:t>9</w:t>
      </w:r>
      <w:r w:rsidRPr="006E60EA">
        <w:rPr>
          <w:sz w:val="22"/>
          <w:szCs w:val="22"/>
        </w:rPr>
        <w:t>, έναντι 3</w:t>
      </w:r>
      <w:r w:rsidRPr="00997789">
        <w:rPr>
          <w:sz w:val="22"/>
          <w:szCs w:val="22"/>
        </w:rPr>
        <w:t>5</w:t>
      </w:r>
      <w:r>
        <w:rPr>
          <w:sz w:val="22"/>
          <w:szCs w:val="22"/>
        </w:rPr>
        <w:t>8</w:t>
      </w:r>
      <w:r w:rsidRPr="006E60EA">
        <w:rPr>
          <w:sz w:val="22"/>
          <w:szCs w:val="22"/>
        </w:rPr>
        <w:t>.</w:t>
      </w:r>
      <w:r w:rsidRPr="00997789">
        <w:rPr>
          <w:sz w:val="22"/>
          <w:szCs w:val="22"/>
        </w:rPr>
        <w:t>949</w:t>
      </w:r>
      <w:r w:rsidRPr="006E60EA">
        <w:rPr>
          <w:sz w:val="22"/>
          <w:szCs w:val="22"/>
        </w:rPr>
        <w:t xml:space="preserve"> εκατ. ευρώ ή 1</w:t>
      </w:r>
      <w:r w:rsidRPr="00997789">
        <w:rPr>
          <w:sz w:val="22"/>
          <w:szCs w:val="22"/>
        </w:rPr>
        <w:t>94</w:t>
      </w:r>
      <w:r w:rsidRPr="006E60EA">
        <w:rPr>
          <w:sz w:val="22"/>
          <w:szCs w:val="22"/>
        </w:rPr>
        <w:t>,</w:t>
      </w:r>
      <w:r w:rsidRPr="00997789">
        <w:rPr>
          <w:sz w:val="22"/>
          <w:szCs w:val="22"/>
        </w:rPr>
        <w:t>3</w:t>
      </w:r>
      <w:r w:rsidRPr="006E60EA">
        <w:rPr>
          <w:sz w:val="22"/>
          <w:szCs w:val="22"/>
        </w:rPr>
        <w:t>% ως ποσοστό του ΑΕΠ το 201</w:t>
      </w:r>
      <w:r w:rsidRPr="00997789">
        <w:rPr>
          <w:sz w:val="22"/>
          <w:szCs w:val="22"/>
        </w:rPr>
        <w:t>8</w:t>
      </w:r>
      <w:r w:rsidRPr="006E60EA">
        <w:rPr>
          <w:sz w:val="22"/>
          <w:szCs w:val="22"/>
        </w:rPr>
        <w:t xml:space="preserve">. </w:t>
      </w:r>
    </w:p>
    <w:p w:rsidR="002D2E90" w:rsidRPr="0058367A" w:rsidRDefault="002D2E90" w:rsidP="002D2E90">
      <w:pPr>
        <w:jc w:val="both"/>
        <w:rPr>
          <w:sz w:val="22"/>
          <w:szCs w:val="22"/>
        </w:rPr>
      </w:pPr>
    </w:p>
    <w:p w:rsidR="002D2E90" w:rsidRPr="006E60EA" w:rsidRDefault="002D2E90" w:rsidP="002D2E90">
      <w:pPr>
        <w:jc w:val="both"/>
        <w:rPr>
          <w:sz w:val="22"/>
          <w:szCs w:val="22"/>
        </w:rPr>
      </w:pPr>
      <w:r w:rsidRPr="000D7698">
        <w:rPr>
          <w:sz w:val="22"/>
          <w:szCs w:val="22"/>
        </w:rPr>
        <w:t>Το 20</w:t>
      </w:r>
      <w:r w:rsidRPr="00D40663">
        <w:rPr>
          <w:sz w:val="22"/>
          <w:szCs w:val="22"/>
        </w:rPr>
        <w:t>20</w:t>
      </w:r>
      <w:r w:rsidRPr="000D7698">
        <w:rPr>
          <w:sz w:val="22"/>
          <w:szCs w:val="22"/>
        </w:rPr>
        <w:t xml:space="preserve"> το ύψος του χρέους της Κεντρικής Διοίκησης προβλέπεται ότι θα διαμορφω</w:t>
      </w:r>
      <w:r>
        <w:rPr>
          <w:sz w:val="22"/>
          <w:szCs w:val="22"/>
        </w:rPr>
        <w:t>θεί στα 3</w:t>
      </w:r>
      <w:r w:rsidRPr="00D40663">
        <w:rPr>
          <w:sz w:val="22"/>
          <w:szCs w:val="22"/>
        </w:rPr>
        <w:t>51</w:t>
      </w:r>
      <w:r>
        <w:rPr>
          <w:sz w:val="22"/>
          <w:szCs w:val="22"/>
        </w:rPr>
        <w:t>.</w:t>
      </w:r>
      <w:r w:rsidRPr="00D40663">
        <w:rPr>
          <w:sz w:val="22"/>
          <w:szCs w:val="22"/>
        </w:rPr>
        <w:t>16</w:t>
      </w:r>
      <w:r>
        <w:rPr>
          <w:sz w:val="22"/>
          <w:szCs w:val="22"/>
        </w:rPr>
        <w:t>0 εκατ. ευρώ ή 1</w:t>
      </w:r>
      <w:r w:rsidRPr="005470D5">
        <w:rPr>
          <w:sz w:val="22"/>
          <w:szCs w:val="22"/>
        </w:rPr>
        <w:t>7</w:t>
      </w:r>
      <w:r w:rsidRPr="00D40663">
        <w:rPr>
          <w:sz w:val="22"/>
          <w:szCs w:val="22"/>
        </w:rPr>
        <w:t>8</w:t>
      </w:r>
      <w:r w:rsidRPr="000D7698">
        <w:rPr>
          <w:sz w:val="22"/>
          <w:szCs w:val="22"/>
        </w:rPr>
        <w:t>,</w:t>
      </w:r>
      <w:r w:rsidRPr="00D40663">
        <w:rPr>
          <w:sz w:val="22"/>
          <w:szCs w:val="22"/>
        </w:rPr>
        <w:t>0</w:t>
      </w:r>
      <w:r w:rsidRPr="000D7698">
        <w:rPr>
          <w:sz w:val="22"/>
          <w:szCs w:val="22"/>
        </w:rPr>
        <w:t xml:space="preserve">% ως ποσοστό του ΑΕΠ, παρουσιάζοντας μείωση κατά </w:t>
      </w:r>
      <w:r w:rsidRPr="00D40663">
        <w:rPr>
          <w:sz w:val="22"/>
          <w:szCs w:val="22"/>
        </w:rPr>
        <w:t>6</w:t>
      </w:r>
      <w:r w:rsidRPr="002C67D2">
        <w:rPr>
          <w:sz w:val="22"/>
          <w:szCs w:val="22"/>
        </w:rPr>
        <w:t>,</w:t>
      </w:r>
      <w:r w:rsidRPr="00D40663">
        <w:rPr>
          <w:sz w:val="22"/>
          <w:szCs w:val="22"/>
        </w:rPr>
        <w:t>7</w:t>
      </w:r>
      <w:r w:rsidRPr="000D7698">
        <w:rPr>
          <w:sz w:val="22"/>
          <w:szCs w:val="22"/>
        </w:rPr>
        <w:t xml:space="preserve"> ποσοστιαίες μονάδες έναντι του 201</w:t>
      </w:r>
      <w:r w:rsidRPr="00D40663">
        <w:rPr>
          <w:sz w:val="22"/>
          <w:szCs w:val="22"/>
        </w:rPr>
        <w:t>9</w:t>
      </w:r>
      <w:r>
        <w:rPr>
          <w:sz w:val="22"/>
          <w:szCs w:val="22"/>
        </w:rPr>
        <w:t xml:space="preserve"> </w:t>
      </w:r>
      <w:r w:rsidRPr="006E60EA">
        <w:rPr>
          <w:sz w:val="22"/>
          <w:szCs w:val="22"/>
        </w:rPr>
        <w:t>(πίνακας 4.1).</w:t>
      </w:r>
    </w:p>
    <w:p w:rsidR="002D2E90" w:rsidRPr="006E60EA" w:rsidRDefault="002D2E90" w:rsidP="002D2E90">
      <w:pPr>
        <w:jc w:val="both"/>
        <w:rPr>
          <w:sz w:val="22"/>
          <w:szCs w:val="22"/>
        </w:rPr>
      </w:pPr>
    </w:p>
    <w:p w:rsidR="002D2E90" w:rsidRDefault="002D2E90" w:rsidP="002D2E90">
      <w:pPr>
        <w:jc w:val="both"/>
        <w:rPr>
          <w:sz w:val="22"/>
          <w:szCs w:val="22"/>
        </w:rPr>
      </w:pPr>
      <w:r w:rsidRPr="00CE721F">
        <w:rPr>
          <w:sz w:val="22"/>
          <w:szCs w:val="22"/>
        </w:rPr>
        <w:t xml:space="preserve">Το χρέος της Γενικής Κυβέρνησης εκτιμάται ότι θα </w:t>
      </w:r>
      <w:r>
        <w:rPr>
          <w:sz w:val="22"/>
          <w:szCs w:val="22"/>
        </w:rPr>
        <w:t xml:space="preserve">διαμορφωθεί </w:t>
      </w:r>
      <w:r w:rsidRPr="00CE721F">
        <w:rPr>
          <w:sz w:val="22"/>
          <w:szCs w:val="22"/>
        </w:rPr>
        <w:t>στα 3</w:t>
      </w:r>
      <w:r>
        <w:rPr>
          <w:sz w:val="22"/>
          <w:szCs w:val="22"/>
        </w:rPr>
        <w:t>29</w:t>
      </w:r>
      <w:r w:rsidRPr="00CE721F">
        <w:rPr>
          <w:sz w:val="22"/>
          <w:szCs w:val="22"/>
        </w:rPr>
        <w:t>.</w:t>
      </w:r>
      <w:r>
        <w:rPr>
          <w:sz w:val="22"/>
          <w:szCs w:val="22"/>
        </w:rPr>
        <w:t>3</w:t>
      </w:r>
      <w:r w:rsidRPr="00CE721F">
        <w:rPr>
          <w:sz w:val="22"/>
          <w:szCs w:val="22"/>
        </w:rPr>
        <w:t>00 εκατ. ευρώ ή 1</w:t>
      </w:r>
      <w:r>
        <w:rPr>
          <w:sz w:val="22"/>
          <w:szCs w:val="22"/>
        </w:rPr>
        <w:t>73</w:t>
      </w:r>
      <w:r w:rsidRPr="00CE721F">
        <w:rPr>
          <w:sz w:val="22"/>
          <w:szCs w:val="22"/>
        </w:rPr>
        <w:t>,</w:t>
      </w:r>
      <w:r>
        <w:rPr>
          <w:sz w:val="22"/>
          <w:szCs w:val="22"/>
        </w:rPr>
        <w:t>3</w:t>
      </w:r>
      <w:r w:rsidRPr="00CE721F">
        <w:rPr>
          <w:sz w:val="22"/>
          <w:szCs w:val="22"/>
        </w:rPr>
        <w:t>% ως ποσοστό του ΑΕΠ στο τέλος του 201</w:t>
      </w:r>
      <w:r>
        <w:rPr>
          <w:sz w:val="22"/>
          <w:szCs w:val="22"/>
        </w:rPr>
        <w:t>9</w:t>
      </w:r>
      <w:r w:rsidRPr="00CE721F">
        <w:rPr>
          <w:sz w:val="22"/>
          <w:szCs w:val="22"/>
        </w:rPr>
        <w:t>, έναντι 3</w:t>
      </w:r>
      <w:r>
        <w:rPr>
          <w:sz w:val="22"/>
          <w:szCs w:val="22"/>
        </w:rPr>
        <w:t>34</w:t>
      </w:r>
      <w:r w:rsidRPr="00CE721F">
        <w:rPr>
          <w:sz w:val="22"/>
          <w:szCs w:val="22"/>
        </w:rPr>
        <w:t>.</w:t>
      </w:r>
      <w:r>
        <w:rPr>
          <w:sz w:val="22"/>
          <w:szCs w:val="22"/>
        </w:rPr>
        <w:t>721</w:t>
      </w:r>
      <w:r w:rsidRPr="00CE721F">
        <w:rPr>
          <w:sz w:val="22"/>
          <w:szCs w:val="22"/>
        </w:rPr>
        <w:t xml:space="preserve"> εκατ. ευρώ ή 1</w:t>
      </w:r>
      <w:r>
        <w:rPr>
          <w:sz w:val="22"/>
          <w:szCs w:val="22"/>
        </w:rPr>
        <w:t>81</w:t>
      </w:r>
      <w:r w:rsidRPr="00CE721F">
        <w:rPr>
          <w:sz w:val="22"/>
          <w:szCs w:val="22"/>
        </w:rPr>
        <w:t>,</w:t>
      </w:r>
      <w:r>
        <w:rPr>
          <w:sz w:val="22"/>
          <w:szCs w:val="22"/>
        </w:rPr>
        <w:t>2</w:t>
      </w:r>
      <w:r w:rsidRPr="00CE721F">
        <w:rPr>
          <w:sz w:val="22"/>
          <w:szCs w:val="22"/>
        </w:rPr>
        <w:t>% ως ποσοστό του ΑΕΠ το 201</w:t>
      </w:r>
      <w:r>
        <w:rPr>
          <w:sz w:val="22"/>
          <w:szCs w:val="22"/>
        </w:rPr>
        <w:t>8</w:t>
      </w:r>
      <w:r w:rsidRPr="00CE721F">
        <w:rPr>
          <w:sz w:val="22"/>
          <w:szCs w:val="22"/>
        </w:rPr>
        <w:t>. Το 20</w:t>
      </w:r>
      <w:r>
        <w:rPr>
          <w:sz w:val="22"/>
          <w:szCs w:val="22"/>
        </w:rPr>
        <w:t>20</w:t>
      </w:r>
      <w:r w:rsidRPr="00CE721F">
        <w:rPr>
          <w:sz w:val="22"/>
          <w:szCs w:val="22"/>
        </w:rPr>
        <w:t xml:space="preserve"> το χρέος της Γενικής Κυβέρνησης προβλέπεται ότι θα διαμορφω</w:t>
      </w:r>
      <w:r>
        <w:rPr>
          <w:sz w:val="22"/>
          <w:szCs w:val="22"/>
        </w:rPr>
        <w:t xml:space="preserve">θεί στα 329.500 εκατ. ευρώ </w:t>
      </w:r>
      <w:r w:rsidR="00550B4B">
        <w:rPr>
          <w:sz w:val="22"/>
          <w:szCs w:val="22"/>
        </w:rPr>
        <w:t>(πίνακας 4.2</w:t>
      </w:r>
      <w:r w:rsidR="00550B4B" w:rsidRPr="006E60EA">
        <w:rPr>
          <w:sz w:val="22"/>
          <w:szCs w:val="22"/>
        </w:rPr>
        <w:t>)</w:t>
      </w:r>
      <w:r w:rsidR="00550B4B">
        <w:rPr>
          <w:sz w:val="22"/>
          <w:szCs w:val="22"/>
        </w:rPr>
        <w:t xml:space="preserve"> </w:t>
      </w:r>
      <w:r>
        <w:rPr>
          <w:sz w:val="22"/>
          <w:szCs w:val="22"/>
        </w:rPr>
        <w:t>ή 1</w:t>
      </w:r>
      <w:r w:rsidRPr="004D05C2">
        <w:rPr>
          <w:sz w:val="22"/>
          <w:szCs w:val="22"/>
        </w:rPr>
        <w:t>67</w:t>
      </w:r>
      <w:r w:rsidRPr="00CE721F">
        <w:rPr>
          <w:sz w:val="22"/>
          <w:szCs w:val="22"/>
        </w:rPr>
        <w:t>,</w:t>
      </w:r>
      <w:r>
        <w:rPr>
          <w:sz w:val="22"/>
          <w:szCs w:val="22"/>
        </w:rPr>
        <w:t>0</w:t>
      </w:r>
      <w:r w:rsidRPr="00CE721F">
        <w:rPr>
          <w:sz w:val="22"/>
          <w:szCs w:val="22"/>
        </w:rPr>
        <w:t xml:space="preserve">% ως ποσοστό του ΑΕΠ, παρουσιάζοντας μείωση κατά </w:t>
      </w:r>
      <w:r>
        <w:rPr>
          <w:sz w:val="22"/>
          <w:szCs w:val="22"/>
        </w:rPr>
        <w:t>6</w:t>
      </w:r>
      <w:r w:rsidRPr="00CE721F">
        <w:rPr>
          <w:sz w:val="22"/>
          <w:szCs w:val="22"/>
        </w:rPr>
        <w:t>,</w:t>
      </w:r>
      <w:r>
        <w:rPr>
          <w:sz w:val="22"/>
          <w:szCs w:val="22"/>
        </w:rPr>
        <w:t>3</w:t>
      </w:r>
      <w:r w:rsidRPr="00CE721F">
        <w:rPr>
          <w:sz w:val="22"/>
          <w:szCs w:val="22"/>
        </w:rPr>
        <w:t xml:space="preserve"> ποσ</w:t>
      </w:r>
      <w:r w:rsidRPr="00CE721F">
        <w:rPr>
          <w:sz w:val="22"/>
          <w:szCs w:val="22"/>
        </w:rPr>
        <w:t>ο</w:t>
      </w:r>
      <w:r w:rsidRPr="00CE721F">
        <w:rPr>
          <w:sz w:val="22"/>
          <w:szCs w:val="22"/>
        </w:rPr>
        <w:t>στιαίες μονάδες του ΑΕΠ έναντι του 201</w:t>
      </w:r>
      <w:r w:rsidRPr="00767EED">
        <w:rPr>
          <w:sz w:val="22"/>
          <w:szCs w:val="22"/>
        </w:rPr>
        <w:t>9</w:t>
      </w:r>
      <w:r w:rsidR="00550B4B">
        <w:rPr>
          <w:sz w:val="22"/>
          <w:szCs w:val="22"/>
        </w:rPr>
        <w:t xml:space="preserve"> (πίνακας 4.3</w:t>
      </w:r>
      <w:r w:rsidRPr="006E60EA">
        <w:rPr>
          <w:sz w:val="22"/>
          <w:szCs w:val="22"/>
        </w:rPr>
        <w:t>).</w:t>
      </w:r>
    </w:p>
    <w:p w:rsidR="00550B4B" w:rsidRDefault="00550B4B" w:rsidP="002D2E90">
      <w:pPr>
        <w:jc w:val="both"/>
        <w:rPr>
          <w:sz w:val="22"/>
          <w:szCs w:val="22"/>
        </w:rPr>
      </w:pPr>
    </w:p>
    <w:p w:rsidR="00550B4B" w:rsidRPr="006E60EA" w:rsidRDefault="00550B4B" w:rsidP="002D2E90">
      <w:pPr>
        <w:jc w:val="both"/>
        <w:rPr>
          <w:sz w:val="22"/>
          <w:szCs w:val="22"/>
        </w:rPr>
      </w:pPr>
    </w:p>
    <w:p w:rsidR="001A423E" w:rsidRPr="0015043C" w:rsidRDefault="001A423E" w:rsidP="001A423E">
      <w:pPr>
        <w:jc w:val="both"/>
        <w:rPr>
          <w:sz w:val="22"/>
          <w:szCs w:val="22"/>
        </w:rPr>
      </w:pPr>
    </w:p>
    <w:tbl>
      <w:tblPr>
        <w:tblW w:w="9018" w:type="dxa"/>
        <w:jc w:val="center"/>
        <w:tblLayout w:type="fixed"/>
        <w:tblLook w:val="0000"/>
      </w:tblPr>
      <w:tblGrid>
        <w:gridCol w:w="348"/>
        <w:gridCol w:w="3890"/>
        <w:gridCol w:w="1180"/>
        <w:gridCol w:w="1260"/>
        <w:gridCol w:w="1260"/>
        <w:gridCol w:w="1080"/>
      </w:tblGrid>
      <w:tr w:rsidR="002D2E90" w:rsidRPr="0015043C" w:rsidTr="00C65143">
        <w:trPr>
          <w:trHeight w:val="560"/>
          <w:jc w:val="center"/>
        </w:trPr>
        <w:tc>
          <w:tcPr>
            <w:tcW w:w="9018" w:type="dxa"/>
            <w:gridSpan w:val="6"/>
            <w:tcBorders>
              <w:top w:val="single" w:sz="4" w:space="0" w:color="auto"/>
              <w:left w:val="single" w:sz="4" w:space="0" w:color="auto"/>
              <w:right w:val="single" w:sz="4" w:space="0" w:color="auto"/>
            </w:tcBorders>
            <w:shd w:val="clear" w:color="auto" w:fill="404040" w:themeFill="text1" w:themeFillTint="BF"/>
            <w:noWrap/>
            <w:tcMar>
              <w:left w:w="28" w:type="dxa"/>
              <w:right w:w="28" w:type="dxa"/>
            </w:tcMar>
            <w:vAlign w:val="bottom"/>
          </w:tcPr>
          <w:p w:rsidR="002D2E90" w:rsidRPr="006547D6" w:rsidRDefault="002D2E90" w:rsidP="00C65143">
            <w:pPr>
              <w:spacing w:before="120"/>
              <w:jc w:val="center"/>
              <w:rPr>
                <w:rFonts w:ascii="Arial Narrow" w:hAnsi="Arial Narrow"/>
                <w:b/>
                <w:bCs/>
                <w:color w:val="FFFFFF"/>
                <w:szCs w:val="16"/>
              </w:rPr>
            </w:pPr>
            <w:r w:rsidRPr="006547D6">
              <w:rPr>
                <w:rFonts w:ascii="Arial Narrow" w:hAnsi="Arial Narrow"/>
                <w:b/>
                <w:bCs/>
                <w:color w:val="FFFFFF"/>
                <w:szCs w:val="16"/>
              </w:rPr>
              <w:t xml:space="preserve">Πίνακας 4.1 Σύνθεση χρέους Κεντρικής </w:t>
            </w:r>
            <w:r>
              <w:rPr>
                <w:rFonts w:ascii="Arial Narrow" w:hAnsi="Arial Narrow"/>
                <w:b/>
                <w:bCs/>
                <w:color w:val="FFFFFF"/>
                <w:szCs w:val="16"/>
              </w:rPr>
              <w:t>Διοίκησης</w:t>
            </w:r>
          </w:p>
          <w:p w:rsidR="002D2E90" w:rsidRPr="0015043C" w:rsidRDefault="002D2E90" w:rsidP="00C65143">
            <w:pPr>
              <w:spacing w:after="120"/>
              <w:jc w:val="center"/>
              <w:rPr>
                <w:rFonts w:ascii="Arial Narrow" w:hAnsi="Arial Narrow"/>
                <w:b/>
                <w:bCs/>
                <w:color w:val="FFFFFF"/>
                <w:szCs w:val="16"/>
              </w:rPr>
            </w:pPr>
            <w:r w:rsidRPr="0015043C">
              <w:rPr>
                <w:rFonts w:ascii="Arial Narrow" w:hAnsi="Arial Narrow"/>
                <w:b/>
                <w:color w:val="FFFFFF"/>
                <w:szCs w:val="16"/>
              </w:rPr>
              <w:t>(σε εκατ. ευρώ)</w:t>
            </w:r>
          </w:p>
        </w:tc>
      </w:tr>
      <w:tr w:rsidR="002D2E90" w:rsidRPr="0015043C" w:rsidTr="00C65143">
        <w:trPr>
          <w:jc w:val="center"/>
        </w:trPr>
        <w:tc>
          <w:tcPr>
            <w:tcW w:w="9018" w:type="dxa"/>
            <w:gridSpan w:val="6"/>
            <w:tcBorders>
              <w:left w:val="single" w:sz="4" w:space="0" w:color="auto"/>
              <w:bottom w:val="single" w:sz="4" w:space="0" w:color="auto"/>
              <w:right w:val="single" w:sz="4" w:space="0" w:color="auto"/>
            </w:tcBorders>
            <w:shd w:val="clear" w:color="auto" w:fill="auto"/>
            <w:noWrap/>
            <w:tcMar>
              <w:left w:w="28" w:type="dxa"/>
              <w:right w:w="28" w:type="dxa"/>
            </w:tcMar>
            <w:vAlign w:val="bottom"/>
          </w:tcPr>
          <w:p w:rsidR="002D2E90" w:rsidRPr="0015043C" w:rsidRDefault="002D2E90" w:rsidP="00C65143">
            <w:pPr>
              <w:jc w:val="center"/>
              <w:rPr>
                <w:rFonts w:ascii="Arial Narrow" w:hAnsi="Arial Narrow"/>
                <w:b/>
                <w:bCs/>
                <w:color w:val="FFFFFF"/>
                <w:sz w:val="14"/>
                <w:szCs w:val="16"/>
              </w:rPr>
            </w:pPr>
          </w:p>
        </w:tc>
      </w:tr>
      <w:tr w:rsidR="002D2E90" w:rsidRPr="0015043C" w:rsidTr="00C65143">
        <w:trPr>
          <w:jc w:val="center"/>
        </w:trPr>
        <w:tc>
          <w:tcPr>
            <w:tcW w:w="348" w:type="dxa"/>
            <w:tcBorders>
              <w:top w:val="single" w:sz="4" w:space="0" w:color="auto"/>
              <w:left w:val="single" w:sz="4" w:space="0" w:color="auto"/>
              <w:bottom w:val="single" w:sz="4" w:space="0" w:color="auto"/>
              <w:right w:val="nil"/>
            </w:tcBorders>
            <w:shd w:val="clear" w:color="auto" w:fill="auto"/>
            <w:noWrap/>
            <w:tcMar>
              <w:left w:w="28" w:type="dxa"/>
              <w:right w:w="28" w:type="dxa"/>
            </w:tcMar>
            <w:vAlign w:val="bottom"/>
          </w:tcPr>
          <w:p w:rsidR="002D2E90" w:rsidRPr="0015043C" w:rsidRDefault="002D2E90" w:rsidP="00C65143">
            <w:pPr>
              <w:spacing w:before="60" w:after="60"/>
              <w:rPr>
                <w:rFonts w:ascii="Arial Narrow" w:hAnsi="Arial Narrow"/>
                <w:b/>
                <w:bCs/>
                <w:sz w:val="16"/>
                <w:szCs w:val="16"/>
              </w:rPr>
            </w:pPr>
          </w:p>
        </w:tc>
        <w:tc>
          <w:tcPr>
            <w:tcW w:w="3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2D2E90" w:rsidRPr="0015043C" w:rsidRDefault="002D2E90" w:rsidP="00C65143">
            <w:pPr>
              <w:pStyle w:val="a6"/>
              <w:spacing w:before="60" w:after="60"/>
              <w:rPr>
                <w:rFonts w:ascii="Arial Narrow" w:hAnsi="Arial Narrow" w:cs="Times New Roman"/>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tcPr>
          <w:p w:rsidR="002D2E90" w:rsidRPr="009468BC" w:rsidRDefault="002D2E90" w:rsidP="00C65143">
            <w:pPr>
              <w:spacing w:before="60" w:after="60"/>
              <w:jc w:val="center"/>
              <w:rPr>
                <w:rFonts w:ascii="Arial Narrow" w:hAnsi="Arial Narrow"/>
                <w:b/>
                <w:bCs/>
                <w:sz w:val="16"/>
                <w:szCs w:val="16"/>
                <w:lang w:val="en-US"/>
              </w:rPr>
            </w:pPr>
            <w:r w:rsidRPr="0015043C">
              <w:rPr>
                <w:rFonts w:ascii="Arial Narrow" w:hAnsi="Arial Narrow"/>
                <w:b/>
                <w:bCs/>
                <w:sz w:val="16"/>
                <w:szCs w:val="16"/>
              </w:rPr>
              <w:t>20</w:t>
            </w:r>
            <w:r>
              <w:rPr>
                <w:rFonts w:ascii="Arial Narrow" w:hAnsi="Arial Narrow"/>
                <w:b/>
                <w:bCs/>
                <w:sz w:val="16"/>
                <w:szCs w:val="16"/>
              </w:rPr>
              <w:t>1</w:t>
            </w:r>
            <w:r>
              <w:rPr>
                <w:rFonts w:ascii="Arial Narrow" w:hAnsi="Arial Narrow"/>
                <w:b/>
                <w:bCs/>
                <w:sz w:val="16"/>
                <w:szCs w:val="16"/>
                <w:lang w:val="en-US"/>
              </w:rPr>
              <w:t>7</w:t>
            </w:r>
          </w:p>
        </w:tc>
        <w:tc>
          <w:tcPr>
            <w:tcW w:w="12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2D2E90" w:rsidRPr="009468BC" w:rsidRDefault="002D2E90" w:rsidP="00C65143">
            <w:pPr>
              <w:spacing w:before="60" w:after="60"/>
              <w:jc w:val="center"/>
              <w:rPr>
                <w:rFonts w:ascii="Arial Narrow" w:hAnsi="Arial Narrow"/>
                <w:b/>
                <w:bCs/>
                <w:sz w:val="16"/>
                <w:szCs w:val="16"/>
                <w:lang w:val="en-US"/>
              </w:rPr>
            </w:pPr>
            <w:r w:rsidRPr="0015043C">
              <w:rPr>
                <w:rFonts w:ascii="Arial Narrow" w:hAnsi="Arial Narrow"/>
                <w:b/>
                <w:bCs/>
                <w:sz w:val="16"/>
                <w:szCs w:val="16"/>
              </w:rPr>
              <w:t>20</w:t>
            </w:r>
            <w:r>
              <w:rPr>
                <w:rFonts w:ascii="Arial Narrow" w:hAnsi="Arial Narrow"/>
                <w:b/>
                <w:bCs/>
                <w:sz w:val="16"/>
                <w:szCs w:val="16"/>
                <w:lang w:val="en-GB"/>
              </w:rPr>
              <w:t>1</w:t>
            </w:r>
            <w:r>
              <w:rPr>
                <w:rFonts w:ascii="Arial Narrow" w:hAnsi="Arial Narrow"/>
                <w:b/>
                <w:bCs/>
                <w:sz w:val="16"/>
                <w:szCs w:val="16"/>
                <w:lang w:val="en-US"/>
              </w:rPr>
              <w:t>8</w:t>
            </w:r>
          </w:p>
        </w:tc>
        <w:tc>
          <w:tcPr>
            <w:tcW w:w="126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2D2E90" w:rsidRPr="0015043C" w:rsidRDefault="002D2E90" w:rsidP="00C65143">
            <w:pPr>
              <w:spacing w:before="60" w:after="60"/>
              <w:jc w:val="center"/>
              <w:rPr>
                <w:rFonts w:ascii="Arial Narrow" w:hAnsi="Arial Narrow"/>
                <w:b/>
                <w:bCs/>
                <w:sz w:val="16"/>
                <w:szCs w:val="16"/>
              </w:rPr>
            </w:pPr>
            <w:r>
              <w:rPr>
                <w:rFonts w:ascii="Arial Narrow" w:hAnsi="Arial Narrow"/>
                <w:b/>
                <w:bCs/>
                <w:sz w:val="16"/>
                <w:szCs w:val="16"/>
                <w:lang w:val="en-US"/>
              </w:rPr>
              <w:t>2019</w:t>
            </w:r>
            <w:r w:rsidRPr="0015043C">
              <w:rPr>
                <w:rFonts w:ascii="Arial Narrow" w:hAnsi="Arial Narrow"/>
                <w:b/>
                <w:bCs/>
                <w:sz w:val="16"/>
                <w:szCs w:val="16"/>
                <w:lang w:val="en-US"/>
              </w:rPr>
              <w:t>*</w:t>
            </w:r>
          </w:p>
        </w:tc>
        <w:tc>
          <w:tcPr>
            <w:tcW w:w="10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2D2E90" w:rsidRPr="0015043C" w:rsidRDefault="002D2E90" w:rsidP="00966481">
            <w:pPr>
              <w:spacing w:before="60" w:after="60"/>
              <w:jc w:val="center"/>
              <w:rPr>
                <w:rFonts w:ascii="Arial Narrow" w:hAnsi="Arial Narrow"/>
                <w:b/>
                <w:bCs/>
                <w:sz w:val="16"/>
                <w:szCs w:val="16"/>
              </w:rPr>
            </w:pPr>
            <w:r>
              <w:rPr>
                <w:rFonts w:ascii="Arial Narrow" w:hAnsi="Arial Narrow"/>
                <w:b/>
                <w:bCs/>
                <w:sz w:val="16"/>
                <w:szCs w:val="16"/>
              </w:rPr>
              <w:t>20</w:t>
            </w:r>
            <w:r w:rsidR="00966481">
              <w:rPr>
                <w:rFonts w:ascii="Arial Narrow" w:hAnsi="Arial Narrow"/>
                <w:b/>
                <w:bCs/>
                <w:sz w:val="16"/>
                <w:szCs w:val="16"/>
              </w:rPr>
              <w:t>20</w:t>
            </w:r>
            <w:r w:rsidRPr="0015043C">
              <w:rPr>
                <w:rFonts w:ascii="Arial Narrow" w:hAnsi="Arial Narrow"/>
                <w:b/>
                <w:bCs/>
                <w:sz w:val="16"/>
                <w:szCs w:val="16"/>
              </w:rPr>
              <w:t>**</w:t>
            </w:r>
          </w:p>
        </w:tc>
      </w:tr>
      <w:tr w:rsidR="00966481" w:rsidRPr="0015043C" w:rsidTr="00966481">
        <w:trPr>
          <w:jc w:val="center"/>
        </w:trPr>
        <w:tc>
          <w:tcPr>
            <w:tcW w:w="348" w:type="dxa"/>
            <w:tcBorders>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r>
              <w:rPr>
                <w:rFonts w:ascii="Arial Narrow" w:hAnsi="Arial Narrow"/>
                <w:b/>
                <w:bCs/>
                <w:sz w:val="16"/>
                <w:szCs w:val="16"/>
              </w:rPr>
              <w:t>Α.</w:t>
            </w:r>
          </w:p>
        </w:tc>
        <w:tc>
          <w:tcPr>
            <w:tcW w:w="3890" w:type="dxa"/>
            <w:tcBorders>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b/>
                <w:bCs/>
                <w:sz w:val="16"/>
                <w:szCs w:val="16"/>
              </w:rPr>
            </w:pPr>
            <w:r w:rsidRPr="006547D6">
              <w:rPr>
                <w:rFonts w:ascii="Arial Narrow" w:hAnsi="Arial Narrow" w:cs="Arial"/>
                <w:b/>
                <w:bCs/>
                <w:sz w:val="16"/>
                <w:szCs w:val="16"/>
              </w:rPr>
              <w:t>Ομόλογα</w:t>
            </w:r>
          </w:p>
        </w:tc>
        <w:tc>
          <w:tcPr>
            <w:tcW w:w="1180" w:type="dxa"/>
            <w:tcBorders>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b/>
                <w:bCs/>
                <w:sz w:val="16"/>
                <w:szCs w:val="16"/>
              </w:rPr>
            </w:pPr>
            <w:r>
              <w:rPr>
                <w:rFonts w:ascii="Arial Narrow" w:hAnsi="Arial Narrow" w:cs="Arial"/>
                <w:b/>
                <w:bCs/>
                <w:sz w:val="16"/>
                <w:szCs w:val="16"/>
              </w:rPr>
              <w:t>50.457</w:t>
            </w:r>
          </w:p>
        </w:tc>
        <w:tc>
          <w:tcPr>
            <w:tcW w:w="1260" w:type="dxa"/>
            <w:tcBorders>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51.551</w:t>
            </w:r>
          </w:p>
        </w:tc>
        <w:tc>
          <w:tcPr>
            <w:tcW w:w="1260" w:type="dxa"/>
            <w:tcBorders>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55.600</w:t>
            </w:r>
          </w:p>
        </w:tc>
        <w:tc>
          <w:tcPr>
            <w:tcW w:w="1080" w:type="dxa"/>
            <w:tcBorders>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61.730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Pr>
                <w:rFonts w:ascii="Arial Narrow" w:hAnsi="Arial Narrow" w:cs="Arial"/>
                <w:sz w:val="16"/>
                <w:szCs w:val="16"/>
              </w:rPr>
              <w:t>Ομόλογα στην α</w:t>
            </w:r>
            <w:r w:rsidRPr="006547D6">
              <w:rPr>
                <w:rFonts w:ascii="Arial Narrow" w:hAnsi="Arial Narrow" w:cs="Arial"/>
                <w:sz w:val="16"/>
                <w:szCs w:val="16"/>
              </w:rPr>
              <w:t xml:space="preserve">γορά </w:t>
            </w:r>
            <w:r>
              <w:rPr>
                <w:rFonts w:ascii="Arial Narrow" w:hAnsi="Arial Narrow" w:cs="Arial"/>
                <w:sz w:val="16"/>
                <w:szCs w:val="16"/>
              </w:rPr>
              <w:t>ε</w:t>
            </w:r>
            <w:r w:rsidRPr="006547D6">
              <w:rPr>
                <w:rFonts w:ascii="Arial Narrow" w:hAnsi="Arial Narrow" w:cs="Arial"/>
                <w:sz w:val="16"/>
                <w:szCs w:val="16"/>
              </w:rPr>
              <w:t>σωτερικού</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48.681</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49.779</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53.890</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60.020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sidRPr="006547D6">
              <w:rPr>
                <w:rFonts w:ascii="Arial Narrow" w:hAnsi="Arial Narrow" w:cs="Arial"/>
                <w:sz w:val="16"/>
                <w:szCs w:val="16"/>
              </w:rPr>
              <w:t xml:space="preserve">Ομόλογα στις </w:t>
            </w:r>
            <w:r>
              <w:rPr>
                <w:rFonts w:ascii="Arial Narrow" w:hAnsi="Arial Narrow" w:cs="Arial"/>
                <w:sz w:val="16"/>
                <w:szCs w:val="16"/>
              </w:rPr>
              <w:t>α</w:t>
            </w:r>
            <w:r w:rsidRPr="006547D6">
              <w:rPr>
                <w:rFonts w:ascii="Arial Narrow" w:hAnsi="Arial Narrow" w:cs="Arial"/>
                <w:sz w:val="16"/>
                <w:szCs w:val="16"/>
              </w:rPr>
              <w:t xml:space="preserve">γορές </w:t>
            </w:r>
            <w:r>
              <w:rPr>
                <w:rFonts w:ascii="Arial Narrow" w:hAnsi="Arial Narrow" w:cs="Arial"/>
                <w:sz w:val="16"/>
                <w:szCs w:val="16"/>
              </w:rPr>
              <w:t>ε</w:t>
            </w:r>
            <w:r w:rsidRPr="006547D6">
              <w:rPr>
                <w:rFonts w:ascii="Arial Narrow" w:hAnsi="Arial Narrow" w:cs="Arial"/>
                <w:sz w:val="16"/>
                <w:szCs w:val="16"/>
              </w:rPr>
              <w:t>ξωτερικού</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1.717</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1.742</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1.710</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1.710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Pr>
                <w:rFonts w:ascii="Arial Narrow" w:hAnsi="Arial Narrow" w:cs="Arial"/>
                <w:sz w:val="16"/>
                <w:szCs w:val="16"/>
              </w:rPr>
              <w:t>Τιτλοποιήσεις στο ε</w:t>
            </w:r>
            <w:r w:rsidRPr="006547D6">
              <w:rPr>
                <w:rFonts w:ascii="Arial Narrow" w:hAnsi="Arial Narrow" w:cs="Arial"/>
                <w:sz w:val="16"/>
                <w:szCs w:val="16"/>
              </w:rPr>
              <w:t>ξωτερικό</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59</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30</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0</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 </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r>
              <w:rPr>
                <w:rFonts w:ascii="Arial Narrow" w:hAnsi="Arial Narrow"/>
                <w:b/>
                <w:bCs/>
                <w:sz w:val="16"/>
                <w:szCs w:val="16"/>
              </w:rPr>
              <w:t>Β.</w:t>
            </w:r>
          </w:p>
        </w:tc>
        <w:tc>
          <w:tcPr>
            <w:tcW w:w="3890" w:type="dxa"/>
            <w:tcBorders>
              <w:top w:val="nil"/>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b/>
                <w:bCs/>
                <w:sz w:val="16"/>
                <w:szCs w:val="16"/>
              </w:rPr>
            </w:pPr>
            <w:r w:rsidRPr="006547D6">
              <w:rPr>
                <w:rFonts w:ascii="Arial Narrow" w:hAnsi="Arial Narrow" w:cs="Arial"/>
                <w:b/>
                <w:bCs/>
                <w:sz w:val="16"/>
                <w:szCs w:val="16"/>
              </w:rPr>
              <w:t>Βραχυπρόθεσμοι Τίτλοι</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b/>
                <w:bCs/>
                <w:sz w:val="16"/>
                <w:szCs w:val="16"/>
              </w:rPr>
            </w:pPr>
            <w:r>
              <w:rPr>
                <w:rFonts w:ascii="Arial Narrow" w:hAnsi="Arial Narrow" w:cs="Arial"/>
                <w:b/>
                <w:bCs/>
                <w:sz w:val="16"/>
                <w:szCs w:val="16"/>
              </w:rPr>
              <w:t>14.943</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15.280</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12.720</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8.220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sidRPr="006547D6">
              <w:rPr>
                <w:rFonts w:ascii="Arial Narrow" w:hAnsi="Arial Narrow" w:cs="Arial"/>
                <w:sz w:val="16"/>
                <w:szCs w:val="16"/>
              </w:rPr>
              <w:t>Έντοκα Γραμμάτια</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14.943</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15.280</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12.720</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8.220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 </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r>
              <w:rPr>
                <w:rFonts w:ascii="Arial Narrow" w:hAnsi="Arial Narrow"/>
                <w:b/>
                <w:bCs/>
                <w:sz w:val="16"/>
                <w:szCs w:val="16"/>
              </w:rPr>
              <w:t>Γ.</w:t>
            </w:r>
          </w:p>
        </w:tc>
        <w:tc>
          <w:tcPr>
            <w:tcW w:w="3890" w:type="dxa"/>
            <w:tcBorders>
              <w:top w:val="nil"/>
              <w:bottom w:val="nil"/>
            </w:tcBorders>
            <w:shd w:val="clear" w:color="auto" w:fill="auto"/>
            <w:tcMar>
              <w:left w:w="28" w:type="dxa"/>
              <w:right w:w="28" w:type="dxa"/>
            </w:tcMar>
            <w:vAlign w:val="bottom"/>
          </w:tcPr>
          <w:p w:rsidR="00966481" w:rsidRPr="006547D6" w:rsidRDefault="00966481" w:rsidP="00C65143">
            <w:pPr>
              <w:spacing w:before="40" w:after="40"/>
              <w:rPr>
                <w:rFonts w:ascii="Arial Narrow" w:hAnsi="Arial Narrow" w:cs="Arial"/>
                <w:b/>
                <w:bCs/>
                <w:sz w:val="16"/>
                <w:szCs w:val="16"/>
              </w:rPr>
            </w:pPr>
            <w:r w:rsidRPr="006547D6">
              <w:rPr>
                <w:rFonts w:ascii="Arial Narrow" w:hAnsi="Arial Narrow" w:cs="Arial"/>
                <w:b/>
                <w:bCs/>
                <w:sz w:val="16"/>
                <w:szCs w:val="16"/>
              </w:rPr>
              <w:t>Δάνεια</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b/>
                <w:bCs/>
                <w:sz w:val="16"/>
                <w:szCs w:val="16"/>
              </w:rPr>
            </w:pPr>
            <w:r>
              <w:rPr>
                <w:rFonts w:ascii="Arial Narrow" w:hAnsi="Arial Narrow" w:cs="Arial"/>
                <w:b/>
                <w:bCs/>
                <w:sz w:val="16"/>
                <w:szCs w:val="16"/>
              </w:rPr>
              <w:t>248.373</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267.597</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258.640</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257.210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sidRPr="006547D6">
              <w:rPr>
                <w:rFonts w:ascii="Arial Narrow" w:hAnsi="Arial Narrow" w:cs="Arial"/>
                <w:sz w:val="16"/>
                <w:szCs w:val="16"/>
              </w:rPr>
              <w:t>Δάνεια Τραπέζης Ελλάδος</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2.849</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2.377</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1.908</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1.436</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sidRPr="006547D6">
              <w:rPr>
                <w:rFonts w:ascii="Arial Narrow" w:hAnsi="Arial Narrow" w:cs="Arial"/>
                <w:sz w:val="16"/>
                <w:szCs w:val="16"/>
              </w:rPr>
              <w:t>Λοι</w:t>
            </w:r>
            <w:r>
              <w:rPr>
                <w:rFonts w:ascii="Arial Narrow" w:hAnsi="Arial Narrow" w:cs="Arial"/>
                <w:sz w:val="16"/>
                <w:szCs w:val="16"/>
              </w:rPr>
              <w:t>πά Δάνεια Ε</w:t>
            </w:r>
            <w:r w:rsidRPr="006547D6">
              <w:rPr>
                <w:rFonts w:ascii="Arial Narrow" w:hAnsi="Arial Narrow" w:cs="Arial"/>
                <w:sz w:val="16"/>
                <w:szCs w:val="16"/>
              </w:rPr>
              <w:t>σωτερικού</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247</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229</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212</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190</w:t>
            </w:r>
          </w:p>
        </w:tc>
      </w:tr>
      <w:tr w:rsidR="00966481" w:rsidRPr="0015043C" w:rsidTr="00966481">
        <w:trPr>
          <w:jc w:val="center"/>
        </w:trPr>
        <w:tc>
          <w:tcPr>
            <w:tcW w:w="348" w:type="dxa"/>
            <w:tcBorders>
              <w:top w:val="nil"/>
              <w:left w:val="single" w:sz="4" w:space="0" w:color="auto"/>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0"/>
                <w:szCs w:val="16"/>
              </w:rPr>
            </w:pPr>
          </w:p>
        </w:tc>
        <w:tc>
          <w:tcPr>
            <w:tcW w:w="3890" w:type="dxa"/>
            <w:tcBorders>
              <w:top w:val="nil"/>
            </w:tcBorders>
            <w:shd w:val="clear" w:color="auto" w:fill="auto"/>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sidRPr="006547D6">
              <w:rPr>
                <w:rFonts w:ascii="Arial Narrow" w:hAnsi="Arial Narrow" w:cs="Arial"/>
                <w:sz w:val="16"/>
                <w:szCs w:val="16"/>
              </w:rPr>
              <w:t>Ειδικά και Διακρατικά Δάνεια</w:t>
            </w:r>
          </w:p>
        </w:tc>
        <w:tc>
          <w:tcPr>
            <w:tcW w:w="1180" w:type="dxa"/>
            <w:tcBorders>
              <w:top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7.993</w:t>
            </w:r>
          </w:p>
        </w:tc>
        <w:tc>
          <w:tcPr>
            <w:tcW w:w="1260" w:type="dxa"/>
            <w:tcBorders>
              <w:top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7.721</w:t>
            </w:r>
          </w:p>
        </w:tc>
        <w:tc>
          <w:tcPr>
            <w:tcW w:w="1260" w:type="dxa"/>
            <w:tcBorders>
              <w:top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7.446</w:t>
            </w:r>
          </w:p>
        </w:tc>
        <w:tc>
          <w:tcPr>
            <w:tcW w:w="1080" w:type="dxa"/>
            <w:tcBorders>
              <w:top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7.114</w:t>
            </w:r>
          </w:p>
        </w:tc>
      </w:tr>
      <w:tr w:rsidR="00966481" w:rsidRPr="0015043C" w:rsidTr="00966481">
        <w:trPr>
          <w:jc w:val="center"/>
        </w:trPr>
        <w:tc>
          <w:tcPr>
            <w:tcW w:w="348" w:type="dxa"/>
            <w:tcBorders>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bottom w:val="nil"/>
            </w:tcBorders>
            <w:shd w:val="clear" w:color="auto" w:fill="auto"/>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sidRPr="006547D6">
              <w:rPr>
                <w:rFonts w:ascii="Arial Narrow" w:hAnsi="Arial Narrow" w:cs="Arial"/>
                <w:sz w:val="16"/>
                <w:szCs w:val="16"/>
              </w:rPr>
              <w:t>Δάνεια Μηχανισμού Στήριξης</w:t>
            </w:r>
          </w:p>
        </w:tc>
        <w:tc>
          <w:tcPr>
            <w:tcW w:w="1180" w:type="dxa"/>
            <w:tcBorders>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232.959</w:t>
            </w:r>
          </w:p>
        </w:tc>
        <w:tc>
          <w:tcPr>
            <w:tcW w:w="1260" w:type="dxa"/>
            <w:tcBorders>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253.104</w:t>
            </w:r>
          </w:p>
        </w:tc>
        <w:tc>
          <w:tcPr>
            <w:tcW w:w="1260" w:type="dxa"/>
            <w:tcBorders>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248.952</w:t>
            </w:r>
          </w:p>
        </w:tc>
        <w:tc>
          <w:tcPr>
            <w:tcW w:w="1080" w:type="dxa"/>
            <w:tcBorders>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248.350</w:t>
            </w:r>
          </w:p>
        </w:tc>
      </w:tr>
      <w:tr w:rsidR="00966481" w:rsidRPr="0015043C" w:rsidTr="00966481">
        <w:trPr>
          <w:jc w:val="center"/>
        </w:trPr>
        <w:tc>
          <w:tcPr>
            <w:tcW w:w="348" w:type="dxa"/>
            <w:tcBorders>
              <w:top w:val="nil"/>
              <w:left w:val="single" w:sz="4" w:space="0" w:color="auto"/>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sidRPr="006547D6">
              <w:rPr>
                <w:rFonts w:ascii="Arial Narrow" w:hAnsi="Arial Narrow" w:cs="Arial"/>
                <w:sz w:val="16"/>
                <w:szCs w:val="16"/>
              </w:rPr>
              <w:t>Λοιπά Δάνεια Εξωτερικού</w:t>
            </w:r>
          </w:p>
        </w:tc>
        <w:tc>
          <w:tcPr>
            <w:tcW w:w="1180" w:type="dxa"/>
            <w:tcBorders>
              <w:top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4.325</w:t>
            </w:r>
          </w:p>
        </w:tc>
        <w:tc>
          <w:tcPr>
            <w:tcW w:w="1260" w:type="dxa"/>
            <w:tcBorders>
              <w:top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4.166</w:t>
            </w:r>
          </w:p>
        </w:tc>
        <w:tc>
          <w:tcPr>
            <w:tcW w:w="1260" w:type="dxa"/>
            <w:tcBorders>
              <w:top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122</w:t>
            </w:r>
          </w:p>
        </w:tc>
        <w:tc>
          <w:tcPr>
            <w:tcW w:w="1080" w:type="dxa"/>
            <w:tcBorders>
              <w:top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120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 </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r>
              <w:rPr>
                <w:rFonts w:ascii="Arial Narrow" w:hAnsi="Arial Narrow"/>
                <w:b/>
                <w:bCs/>
                <w:sz w:val="16"/>
                <w:szCs w:val="16"/>
              </w:rPr>
              <w:t>Δ.</w:t>
            </w:r>
          </w:p>
        </w:tc>
        <w:tc>
          <w:tcPr>
            <w:tcW w:w="3890" w:type="dxa"/>
            <w:tcBorders>
              <w:top w:val="nil"/>
              <w:bottom w:val="nil"/>
            </w:tcBorders>
            <w:shd w:val="clear" w:color="auto" w:fill="auto"/>
            <w:tcMar>
              <w:left w:w="28" w:type="dxa"/>
              <w:right w:w="28" w:type="dxa"/>
            </w:tcMar>
            <w:vAlign w:val="bottom"/>
          </w:tcPr>
          <w:p w:rsidR="00966481" w:rsidRPr="006547D6" w:rsidRDefault="00966481" w:rsidP="00C65143">
            <w:pPr>
              <w:spacing w:before="40" w:after="40"/>
              <w:rPr>
                <w:rFonts w:ascii="Arial Narrow" w:hAnsi="Arial Narrow" w:cs="Arial"/>
                <w:b/>
                <w:bCs/>
                <w:sz w:val="16"/>
                <w:szCs w:val="16"/>
              </w:rPr>
            </w:pPr>
            <w:r>
              <w:rPr>
                <w:rFonts w:ascii="Arial Narrow" w:hAnsi="Arial Narrow" w:cs="Arial"/>
                <w:b/>
                <w:bCs/>
                <w:sz w:val="16"/>
                <w:szCs w:val="16"/>
              </w:rPr>
              <w:t>Βραχυπρόθεσμα δ</w:t>
            </w:r>
            <w:r w:rsidRPr="006547D6">
              <w:rPr>
                <w:rFonts w:ascii="Arial Narrow" w:hAnsi="Arial Narrow" w:cs="Arial"/>
                <w:b/>
                <w:bCs/>
                <w:sz w:val="16"/>
                <w:szCs w:val="16"/>
              </w:rPr>
              <w:t>άνεια</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b/>
                <w:bCs/>
                <w:sz w:val="16"/>
                <w:szCs w:val="16"/>
              </w:rPr>
            </w:pPr>
            <w:r>
              <w:rPr>
                <w:rFonts w:ascii="Arial Narrow" w:hAnsi="Arial Narrow" w:cs="Arial"/>
                <w:b/>
                <w:bCs/>
                <w:sz w:val="16"/>
                <w:szCs w:val="16"/>
              </w:rPr>
              <w:t>14.931</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24.521</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24.000</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24.000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66481" w:rsidRPr="00F65459" w:rsidRDefault="00966481" w:rsidP="00C65143">
            <w:pPr>
              <w:spacing w:before="40" w:after="40"/>
              <w:rPr>
                <w:rFonts w:ascii="Arial Narrow" w:hAnsi="Arial Narrow" w:cs="Arial"/>
                <w:sz w:val="16"/>
                <w:szCs w:val="16"/>
              </w:rPr>
            </w:pPr>
            <w:r>
              <w:rPr>
                <w:rFonts w:ascii="Arial Narrow" w:hAnsi="Arial Narrow" w:cs="Arial"/>
                <w:sz w:val="16"/>
                <w:szCs w:val="16"/>
              </w:rPr>
              <w:t>Πώληση τίτλων με σύμφωνο επαναγοράς (</w:t>
            </w:r>
            <w:r>
              <w:rPr>
                <w:rFonts w:ascii="Arial Narrow" w:hAnsi="Arial Narrow" w:cs="Arial"/>
                <w:sz w:val="16"/>
                <w:szCs w:val="16"/>
                <w:lang w:val="en-GB"/>
              </w:rPr>
              <w:t>repos</w:t>
            </w:r>
            <w:r w:rsidRPr="00F65459">
              <w:rPr>
                <w:rFonts w:ascii="Arial Narrow" w:hAnsi="Arial Narrow" w:cs="Arial"/>
                <w:sz w:val="16"/>
                <w:szCs w:val="16"/>
              </w:rPr>
              <w:t>)</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14.931</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24.521</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24.000</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24.000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 </w:t>
            </w:r>
          </w:p>
        </w:tc>
      </w:tr>
      <w:tr w:rsidR="00966481" w:rsidRPr="0015043C" w:rsidTr="00966481">
        <w:trPr>
          <w:jc w:val="center"/>
        </w:trPr>
        <w:tc>
          <w:tcPr>
            <w:tcW w:w="348" w:type="dxa"/>
            <w:tcBorders>
              <w:top w:val="nil"/>
              <w:left w:val="single" w:sz="4" w:space="0" w:color="auto"/>
              <w:bottom w:val="nil"/>
            </w:tcBorders>
            <w:shd w:val="clear" w:color="auto" w:fill="D9D9D9" w:themeFill="background1" w:themeFillShade="D9"/>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r>
              <w:rPr>
                <w:rFonts w:ascii="Arial Narrow" w:hAnsi="Arial Narrow"/>
                <w:b/>
                <w:bCs/>
                <w:sz w:val="16"/>
                <w:szCs w:val="16"/>
              </w:rPr>
              <w:t>Ε.</w:t>
            </w:r>
          </w:p>
        </w:tc>
        <w:tc>
          <w:tcPr>
            <w:tcW w:w="3890" w:type="dxa"/>
            <w:tcBorders>
              <w:top w:val="nil"/>
              <w:bottom w:val="nil"/>
            </w:tcBorders>
            <w:shd w:val="clear" w:color="auto" w:fill="D9D9D9" w:themeFill="background1" w:themeFillShade="D9"/>
            <w:noWrap/>
            <w:tcMar>
              <w:left w:w="28" w:type="dxa"/>
              <w:right w:w="28" w:type="dxa"/>
            </w:tcMar>
            <w:vAlign w:val="bottom"/>
          </w:tcPr>
          <w:p w:rsidR="00966481" w:rsidRPr="006547D6" w:rsidRDefault="00966481" w:rsidP="00C65143">
            <w:pPr>
              <w:spacing w:before="40" w:after="40"/>
              <w:rPr>
                <w:rFonts w:ascii="Arial Narrow" w:hAnsi="Arial Narrow" w:cs="Arial"/>
                <w:b/>
                <w:bCs/>
                <w:sz w:val="16"/>
                <w:szCs w:val="16"/>
              </w:rPr>
            </w:pPr>
            <w:r w:rsidRPr="006547D6">
              <w:rPr>
                <w:rFonts w:ascii="Arial Narrow" w:hAnsi="Arial Narrow" w:cs="Arial"/>
                <w:b/>
                <w:bCs/>
                <w:sz w:val="16"/>
                <w:szCs w:val="16"/>
              </w:rPr>
              <w:t>Σύνολο χρέους Κεντρικής Διοίκησης (Α+Β+Γ</w:t>
            </w:r>
            <w:r>
              <w:rPr>
                <w:rFonts w:ascii="Arial Narrow" w:hAnsi="Arial Narrow" w:cs="Arial"/>
                <w:b/>
                <w:bCs/>
                <w:sz w:val="16"/>
                <w:szCs w:val="16"/>
              </w:rPr>
              <w:t>+Δ</w:t>
            </w:r>
            <w:r w:rsidRPr="006547D6">
              <w:rPr>
                <w:rFonts w:ascii="Arial Narrow" w:hAnsi="Arial Narrow" w:cs="Arial"/>
                <w:b/>
                <w:bCs/>
                <w:sz w:val="16"/>
                <w:szCs w:val="16"/>
              </w:rPr>
              <w:t>)</w:t>
            </w:r>
          </w:p>
        </w:tc>
        <w:tc>
          <w:tcPr>
            <w:tcW w:w="1180" w:type="dxa"/>
            <w:tcBorders>
              <w:top w:val="nil"/>
              <w:bottom w:val="nil"/>
            </w:tcBorders>
            <w:shd w:val="clear" w:color="auto" w:fill="D9D9D9" w:themeFill="background1" w:themeFillShade="D9"/>
            <w:noWrap/>
            <w:tcMar>
              <w:left w:w="28" w:type="dxa"/>
              <w:right w:w="28" w:type="dxa"/>
            </w:tcMar>
            <w:vAlign w:val="center"/>
          </w:tcPr>
          <w:p w:rsidR="00966481" w:rsidRDefault="00966481" w:rsidP="00C65143">
            <w:pPr>
              <w:ind w:right="284"/>
              <w:jc w:val="right"/>
              <w:rPr>
                <w:rFonts w:ascii="Arial Narrow" w:hAnsi="Arial Narrow" w:cs="Arial"/>
                <w:b/>
                <w:bCs/>
                <w:sz w:val="16"/>
                <w:szCs w:val="16"/>
              </w:rPr>
            </w:pPr>
            <w:r>
              <w:rPr>
                <w:rFonts w:ascii="Arial Narrow" w:hAnsi="Arial Narrow" w:cs="Arial"/>
                <w:b/>
                <w:bCs/>
                <w:sz w:val="16"/>
                <w:szCs w:val="16"/>
              </w:rPr>
              <w:t>328.704</w:t>
            </w:r>
          </w:p>
        </w:tc>
        <w:tc>
          <w:tcPr>
            <w:tcW w:w="1260" w:type="dxa"/>
            <w:tcBorders>
              <w:top w:val="nil"/>
              <w:bottom w:val="nil"/>
            </w:tcBorders>
            <w:shd w:val="clear" w:color="auto" w:fill="D9D9D9" w:themeFill="background1" w:themeFillShade="D9"/>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358.949</w:t>
            </w:r>
          </w:p>
        </w:tc>
        <w:tc>
          <w:tcPr>
            <w:tcW w:w="1260" w:type="dxa"/>
            <w:tcBorders>
              <w:top w:val="nil"/>
              <w:bottom w:val="nil"/>
            </w:tcBorders>
            <w:shd w:val="clear" w:color="auto" w:fill="D9D9D9" w:themeFill="background1" w:themeFillShade="D9"/>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350.960</w:t>
            </w:r>
          </w:p>
        </w:tc>
        <w:tc>
          <w:tcPr>
            <w:tcW w:w="1080" w:type="dxa"/>
            <w:tcBorders>
              <w:top w:val="nil"/>
              <w:bottom w:val="nil"/>
              <w:right w:val="single" w:sz="4" w:space="0" w:color="auto"/>
            </w:tcBorders>
            <w:shd w:val="clear" w:color="auto" w:fill="D9D9D9" w:themeFill="background1" w:themeFillShade="D9"/>
            <w:noWrap/>
            <w:tcMar>
              <w:left w:w="28" w:type="dxa"/>
              <w:right w:w="28" w:type="dxa"/>
            </w:tcMar>
            <w:vAlign w:val="center"/>
          </w:tcPr>
          <w:p w:rsidR="00966481" w:rsidRDefault="00966481" w:rsidP="00966481">
            <w:pPr>
              <w:ind w:right="284"/>
              <w:jc w:val="right"/>
              <w:rPr>
                <w:rFonts w:ascii="Arial Narrow" w:hAnsi="Arial Narrow" w:cs="Arial"/>
                <w:b/>
                <w:bCs/>
                <w:sz w:val="16"/>
                <w:szCs w:val="16"/>
              </w:rPr>
            </w:pPr>
            <w:r>
              <w:rPr>
                <w:rFonts w:ascii="Arial Narrow" w:hAnsi="Arial Narrow" w:cs="Arial"/>
                <w:b/>
                <w:bCs/>
                <w:sz w:val="16"/>
                <w:szCs w:val="16"/>
              </w:rPr>
              <w:t>351.160</w:t>
            </w:r>
          </w:p>
        </w:tc>
      </w:tr>
      <w:tr w:rsidR="00966481" w:rsidRPr="0015043C" w:rsidTr="00966481">
        <w:trPr>
          <w:jc w:val="center"/>
        </w:trPr>
        <w:tc>
          <w:tcPr>
            <w:tcW w:w="348" w:type="dxa"/>
            <w:tcBorders>
              <w:top w:val="nil"/>
              <w:left w:val="single" w:sz="4" w:space="0" w:color="auto"/>
              <w:bottom w:val="nil"/>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nil"/>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sidRPr="006547D6">
              <w:rPr>
                <w:rFonts w:ascii="Arial Narrow" w:hAnsi="Arial Narrow" w:cs="Arial"/>
                <w:sz w:val="16"/>
                <w:szCs w:val="16"/>
              </w:rPr>
              <w:t>(ως % του ΑΕΠ)</w:t>
            </w:r>
          </w:p>
        </w:tc>
        <w:tc>
          <w:tcPr>
            <w:tcW w:w="1180" w:type="dxa"/>
            <w:tcBorders>
              <w:top w:val="nil"/>
              <w:bottom w:val="nil"/>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182,4%</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194,3%</w:t>
            </w:r>
          </w:p>
        </w:tc>
        <w:tc>
          <w:tcPr>
            <w:tcW w:w="1260" w:type="dxa"/>
            <w:tcBorders>
              <w:top w:val="nil"/>
              <w:bottom w:val="nil"/>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184,7%</w:t>
            </w:r>
          </w:p>
        </w:tc>
        <w:tc>
          <w:tcPr>
            <w:tcW w:w="1080" w:type="dxa"/>
            <w:tcBorders>
              <w:top w:val="nil"/>
              <w:bottom w:val="nil"/>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178,0%</w:t>
            </w:r>
          </w:p>
        </w:tc>
      </w:tr>
      <w:tr w:rsidR="00966481" w:rsidRPr="0015043C" w:rsidTr="00966481">
        <w:trPr>
          <w:jc w:val="center"/>
        </w:trPr>
        <w:tc>
          <w:tcPr>
            <w:tcW w:w="348" w:type="dxa"/>
            <w:tcBorders>
              <w:top w:val="nil"/>
              <w:left w:val="single" w:sz="4" w:space="0" w:color="auto"/>
              <w:bottom w:val="single" w:sz="4" w:space="0" w:color="auto"/>
            </w:tcBorders>
            <w:shd w:val="clear" w:color="auto" w:fill="auto"/>
            <w:noWrap/>
            <w:tcMar>
              <w:left w:w="28" w:type="dxa"/>
              <w:right w:w="28" w:type="dxa"/>
            </w:tcMar>
            <w:vAlign w:val="center"/>
          </w:tcPr>
          <w:p w:rsidR="00966481" w:rsidRPr="0015043C" w:rsidRDefault="00966481" w:rsidP="00C65143">
            <w:pPr>
              <w:spacing w:before="40" w:after="40"/>
              <w:rPr>
                <w:rFonts w:ascii="Arial Narrow" w:hAnsi="Arial Narrow"/>
                <w:b/>
                <w:bCs/>
                <w:sz w:val="16"/>
                <w:szCs w:val="16"/>
              </w:rPr>
            </w:pPr>
          </w:p>
        </w:tc>
        <w:tc>
          <w:tcPr>
            <w:tcW w:w="3890" w:type="dxa"/>
            <w:tcBorders>
              <w:top w:val="nil"/>
              <w:bottom w:val="single" w:sz="4" w:space="0" w:color="auto"/>
            </w:tcBorders>
            <w:shd w:val="clear" w:color="auto" w:fill="auto"/>
            <w:noWrap/>
            <w:tcMar>
              <w:left w:w="28" w:type="dxa"/>
              <w:right w:w="28" w:type="dxa"/>
            </w:tcMar>
            <w:vAlign w:val="bottom"/>
          </w:tcPr>
          <w:p w:rsidR="00966481" w:rsidRPr="006547D6" w:rsidRDefault="00966481" w:rsidP="00C65143">
            <w:pPr>
              <w:spacing w:before="40" w:after="40"/>
              <w:rPr>
                <w:rFonts w:ascii="Arial Narrow" w:hAnsi="Arial Narrow" w:cs="Arial"/>
                <w:sz w:val="16"/>
                <w:szCs w:val="16"/>
              </w:rPr>
            </w:pPr>
            <w:r w:rsidRPr="006547D6">
              <w:rPr>
                <w:rFonts w:ascii="Arial Narrow" w:hAnsi="Arial Narrow" w:cs="Arial"/>
                <w:sz w:val="16"/>
                <w:szCs w:val="16"/>
              </w:rPr>
              <w:t>ΑΕΠ</w:t>
            </w:r>
          </w:p>
        </w:tc>
        <w:tc>
          <w:tcPr>
            <w:tcW w:w="1180" w:type="dxa"/>
            <w:tcBorders>
              <w:top w:val="nil"/>
              <w:bottom w:val="single" w:sz="4" w:space="0" w:color="auto"/>
            </w:tcBorders>
            <w:shd w:val="clear" w:color="auto" w:fill="auto"/>
            <w:noWrap/>
            <w:tcMar>
              <w:left w:w="28" w:type="dxa"/>
              <w:right w:w="28" w:type="dxa"/>
            </w:tcMar>
            <w:vAlign w:val="center"/>
          </w:tcPr>
          <w:p w:rsidR="00966481" w:rsidRDefault="00966481" w:rsidP="00C65143">
            <w:pPr>
              <w:ind w:right="284"/>
              <w:jc w:val="right"/>
              <w:rPr>
                <w:rFonts w:ascii="Arial Narrow" w:hAnsi="Arial Narrow" w:cs="Arial"/>
                <w:sz w:val="16"/>
                <w:szCs w:val="16"/>
              </w:rPr>
            </w:pPr>
            <w:r>
              <w:rPr>
                <w:rFonts w:ascii="Arial Narrow" w:hAnsi="Arial Narrow" w:cs="Arial"/>
                <w:sz w:val="16"/>
                <w:szCs w:val="16"/>
              </w:rPr>
              <w:t>180.218</w:t>
            </w:r>
          </w:p>
        </w:tc>
        <w:tc>
          <w:tcPr>
            <w:tcW w:w="1260" w:type="dxa"/>
            <w:tcBorders>
              <w:top w:val="nil"/>
              <w:bottom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184.714</w:t>
            </w:r>
          </w:p>
        </w:tc>
        <w:tc>
          <w:tcPr>
            <w:tcW w:w="1260" w:type="dxa"/>
            <w:tcBorders>
              <w:top w:val="nil"/>
              <w:bottom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190.004</w:t>
            </w:r>
          </w:p>
        </w:tc>
        <w:tc>
          <w:tcPr>
            <w:tcW w:w="1080" w:type="dxa"/>
            <w:tcBorders>
              <w:top w:val="nil"/>
              <w:bottom w:val="single" w:sz="4" w:space="0" w:color="auto"/>
              <w:right w:val="single" w:sz="4" w:space="0" w:color="auto"/>
            </w:tcBorders>
            <w:shd w:val="clear" w:color="auto" w:fill="auto"/>
            <w:noWrap/>
            <w:tcMar>
              <w:left w:w="28" w:type="dxa"/>
              <w:right w:w="28" w:type="dxa"/>
            </w:tcMar>
            <w:vAlign w:val="center"/>
          </w:tcPr>
          <w:p w:rsidR="00966481" w:rsidRDefault="00966481" w:rsidP="00966481">
            <w:pPr>
              <w:ind w:right="284"/>
              <w:jc w:val="right"/>
              <w:rPr>
                <w:rFonts w:ascii="Arial Narrow" w:hAnsi="Arial Narrow" w:cs="Arial"/>
                <w:sz w:val="16"/>
                <w:szCs w:val="16"/>
              </w:rPr>
            </w:pPr>
            <w:r>
              <w:rPr>
                <w:rFonts w:ascii="Arial Narrow" w:hAnsi="Arial Narrow" w:cs="Arial"/>
                <w:sz w:val="16"/>
                <w:szCs w:val="16"/>
              </w:rPr>
              <w:t>197.315</w:t>
            </w:r>
          </w:p>
        </w:tc>
      </w:tr>
    </w:tbl>
    <w:p w:rsidR="002D2E90" w:rsidRPr="006547D6" w:rsidRDefault="002D2E90" w:rsidP="002D2E90">
      <w:pPr>
        <w:tabs>
          <w:tab w:val="left" w:pos="180"/>
          <w:tab w:val="left" w:pos="8320"/>
        </w:tabs>
        <w:jc w:val="both"/>
        <w:rPr>
          <w:rFonts w:ascii="Arial Narrow" w:hAnsi="Arial Narrow"/>
          <w:sz w:val="16"/>
          <w:szCs w:val="16"/>
        </w:rPr>
      </w:pPr>
      <w:r w:rsidRPr="0015043C">
        <w:rPr>
          <w:rFonts w:ascii="Arial Narrow" w:hAnsi="Arial Narrow"/>
          <w:sz w:val="16"/>
          <w:szCs w:val="16"/>
        </w:rPr>
        <w:t>*</w:t>
      </w:r>
      <w:r w:rsidRPr="0015043C">
        <w:rPr>
          <w:rFonts w:ascii="Arial Narrow" w:hAnsi="Arial Narrow"/>
          <w:sz w:val="16"/>
          <w:szCs w:val="16"/>
        </w:rPr>
        <w:tab/>
        <w:t>Εκτιμήσεις      **Προβλέψεις</w:t>
      </w:r>
      <w:r>
        <w:rPr>
          <w:rFonts w:ascii="Arial Narrow" w:hAnsi="Arial Narrow"/>
          <w:sz w:val="16"/>
          <w:szCs w:val="16"/>
        </w:rPr>
        <w:tab/>
      </w:r>
    </w:p>
    <w:p w:rsidR="002D2E90" w:rsidRPr="006547D6" w:rsidRDefault="002D2E90" w:rsidP="002D2E90">
      <w:pPr>
        <w:tabs>
          <w:tab w:val="left" w:pos="180"/>
        </w:tabs>
        <w:jc w:val="both"/>
        <w:rPr>
          <w:rFonts w:ascii="Arial Narrow" w:hAnsi="Arial Narrow"/>
          <w:sz w:val="16"/>
          <w:szCs w:val="16"/>
        </w:rPr>
      </w:pPr>
      <w:r w:rsidRPr="0015043C">
        <w:rPr>
          <w:rFonts w:ascii="Arial Narrow" w:hAnsi="Arial Narrow"/>
          <w:sz w:val="16"/>
          <w:szCs w:val="16"/>
        </w:rPr>
        <w:t xml:space="preserve">Πηγή:  </w:t>
      </w:r>
      <w:r>
        <w:rPr>
          <w:rFonts w:ascii="Arial Narrow" w:hAnsi="Arial Narrow"/>
          <w:sz w:val="16"/>
          <w:szCs w:val="16"/>
        </w:rPr>
        <w:t>ΟΔΔΗΧ</w:t>
      </w:r>
    </w:p>
    <w:p w:rsidR="002D2E90" w:rsidRDefault="002D2E90" w:rsidP="002D2E90">
      <w:pPr>
        <w:rPr>
          <w:rFonts w:ascii="Arial Narrow" w:hAnsi="Arial Narrow"/>
          <w:b/>
          <w:color w:val="FFFFFF"/>
          <w:sz w:val="26"/>
          <w:szCs w:val="26"/>
        </w:rPr>
      </w:pPr>
    </w:p>
    <w:p w:rsidR="00550B4B" w:rsidRDefault="00550B4B" w:rsidP="002D2E90">
      <w:pPr>
        <w:rPr>
          <w:rFonts w:ascii="Arial Narrow" w:hAnsi="Arial Narrow"/>
          <w:b/>
          <w:color w:val="FFFFFF"/>
          <w:sz w:val="26"/>
          <w:szCs w:val="26"/>
        </w:rPr>
      </w:pPr>
    </w:p>
    <w:p w:rsidR="00550B4B" w:rsidRDefault="00550B4B" w:rsidP="002D2E90">
      <w:pPr>
        <w:rPr>
          <w:rFonts w:ascii="Arial Narrow" w:hAnsi="Arial Narrow"/>
          <w:b/>
          <w:color w:val="FFFFFF"/>
          <w:sz w:val="26"/>
          <w:szCs w:val="26"/>
        </w:rPr>
      </w:pPr>
    </w:p>
    <w:p w:rsidR="00550B4B" w:rsidRDefault="00550B4B" w:rsidP="002D2E90">
      <w:pPr>
        <w:rPr>
          <w:rFonts w:ascii="Arial Narrow" w:hAnsi="Arial Narrow"/>
          <w:b/>
          <w:color w:val="FFFFFF"/>
          <w:sz w:val="26"/>
          <w:szCs w:val="26"/>
        </w:rPr>
      </w:pPr>
    </w:p>
    <w:p w:rsidR="00550B4B" w:rsidRDefault="00550B4B" w:rsidP="002D2E90">
      <w:pPr>
        <w:rPr>
          <w:rFonts w:ascii="Arial Narrow" w:hAnsi="Arial Narrow"/>
          <w:b/>
          <w:color w:val="FFFFFF"/>
          <w:sz w:val="26"/>
          <w:szCs w:val="26"/>
        </w:rPr>
      </w:pPr>
    </w:p>
    <w:p w:rsidR="00550B4B" w:rsidRDefault="00550B4B" w:rsidP="002D2E90">
      <w:pPr>
        <w:rPr>
          <w:rFonts w:ascii="Arial Narrow" w:hAnsi="Arial Narrow"/>
          <w:b/>
          <w:color w:val="FFFFFF"/>
          <w:sz w:val="26"/>
          <w:szCs w:val="26"/>
        </w:rPr>
      </w:pPr>
    </w:p>
    <w:p w:rsidR="00550B4B" w:rsidRPr="00966481" w:rsidRDefault="00550B4B" w:rsidP="002D2E90">
      <w:pPr>
        <w:rPr>
          <w:rFonts w:ascii="Arial Narrow" w:hAnsi="Arial Narrow"/>
          <w:b/>
          <w:color w:val="FFFFFF"/>
          <w:sz w:val="26"/>
          <w:szCs w:val="26"/>
        </w:rPr>
      </w:pPr>
    </w:p>
    <w:tbl>
      <w:tblPr>
        <w:tblW w:w="9440" w:type="dxa"/>
        <w:tblLayout w:type="fixed"/>
        <w:tblLook w:val="0000"/>
      </w:tblPr>
      <w:tblGrid>
        <w:gridCol w:w="4788"/>
        <w:gridCol w:w="1163"/>
        <w:gridCol w:w="1163"/>
        <w:gridCol w:w="1163"/>
        <w:gridCol w:w="1163"/>
      </w:tblGrid>
      <w:tr w:rsidR="002D2E90" w:rsidRPr="0015043C" w:rsidTr="00C65143">
        <w:tc>
          <w:tcPr>
            <w:tcW w:w="9440" w:type="dxa"/>
            <w:gridSpan w:val="5"/>
            <w:tcBorders>
              <w:top w:val="single" w:sz="4" w:space="0" w:color="auto"/>
              <w:left w:val="single" w:sz="4" w:space="0" w:color="auto"/>
              <w:right w:val="single" w:sz="4" w:space="0" w:color="auto"/>
            </w:tcBorders>
            <w:shd w:val="clear" w:color="auto" w:fill="404040" w:themeFill="text1" w:themeFillTint="BF"/>
            <w:noWrap/>
          </w:tcPr>
          <w:p w:rsidR="002D2E90" w:rsidRPr="006A2A00" w:rsidRDefault="002D2E90" w:rsidP="00C65143">
            <w:pPr>
              <w:spacing w:before="120"/>
              <w:jc w:val="center"/>
              <w:rPr>
                <w:rFonts w:ascii="Arial Narrow" w:hAnsi="Arial Narrow"/>
                <w:b/>
                <w:bCs/>
                <w:color w:val="FFFFFF"/>
              </w:rPr>
            </w:pPr>
            <w:r w:rsidRPr="006A2A00">
              <w:rPr>
                <w:rFonts w:ascii="Arial Narrow" w:hAnsi="Arial Narrow"/>
                <w:b/>
                <w:bCs/>
                <w:color w:val="FFFFFF"/>
              </w:rPr>
              <w:lastRenderedPageBreak/>
              <w:t xml:space="preserve">Πίνακας </w:t>
            </w:r>
            <w:r w:rsidRPr="0018754F">
              <w:rPr>
                <w:rFonts w:ascii="Arial Narrow" w:hAnsi="Arial Narrow"/>
                <w:b/>
                <w:bCs/>
                <w:color w:val="FFFFFF"/>
              </w:rPr>
              <w:t>4</w:t>
            </w:r>
            <w:r w:rsidRPr="006A2A00">
              <w:rPr>
                <w:rFonts w:ascii="Arial Narrow" w:hAnsi="Arial Narrow"/>
                <w:b/>
                <w:bCs/>
                <w:color w:val="FFFFFF"/>
              </w:rPr>
              <w:t>.2  Χρέος Γενικής Κυβέρνησης</w:t>
            </w:r>
          </w:p>
          <w:p w:rsidR="002D2E90" w:rsidRPr="0015043C" w:rsidRDefault="002D2E90" w:rsidP="00C65143">
            <w:pPr>
              <w:spacing w:after="120"/>
              <w:jc w:val="center"/>
              <w:rPr>
                <w:rFonts w:ascii="Arial Narrow" w:hAnsi="Arial Narrow"/>
                <w:bCs/>
              </w:rPr>
            </w:pPr>
            <w:r w:rsidRPr="0015043C">
              <w:rPr>
                <w:rFonts w:ascii="Arial Narrow" w:hAnsi="Arial Narrow"/>
                <w:b/>
                <w:bCs/>
                <w:color w:val="FFFFFF"/>
              </w:rPr>
              <w:t>(σε εκατ. ευρώ)</w:t>
            </w:r>
          </w:p>
        </w:tc>
      </w:tr>
      <w:tr w:rsidR="002D2E90" w:rsidRPr="0015043C" w:rsidTr="00C65143">
        <w:tc>
          <w:tcPr>
            <w:tcW w:w="9440" w:type="dxa"/>
            <w:gridSpan w:val="5"/>
            <w:tcBorders>
              <w:left w:val="single" w:sz="4" w:space="0" w:color="auto"/>
              <w:bottom w:val="single" w:sz="4" w:space="0" w:color="auto"/>
              <w:right w:val="single" w:sz="4" w:space="0" w:color="auto"/>
            </w:tcBorders>
            <w:shd w:val="clear" w:color="auto" w:fill="auto"/>
            <w:noWrap/>
          </w:tcPr>
          <w:p w:rsidR="002D2E90" w:rsidRPr="0015043C" w:rsidRDefault="002D2E90" w:rsidP="00C65143">
            <w:pPr>
              <w:jc w:val="center"/>
              <w:rPr>
                <w:rFonts w:ascii="Arial Narrow" w:hAnsi="Arial Narrow"/>
                <w:b/>
                <w:bCs/>
                <w:color w:val="FFFFFF"/>
                <w:sz w:val="16"/>
              </w:rPr>
            </w:pPr>
          </w:p>
        </w:tc>
      </w:tr>
      <w:tr w:rsidR="002D2E90" w:rsidRPr="0015043C" w:rsidTr="00C65143">
        <w:tc>
          <w:tcPr>
            <w:tcW w:w="4788" w:type="dxa"/>
            <w:tcBorders>
              <w:top w:val="single" w:sz="4" w:space="0" w:color="auto"/>
              <w:left w:val="single" w:sz="4" w:space="0" w:color="auto"/>
              <w:bottom w:val="single" w:sz="4" w:space="0" w:color="auto"/>
              <w:right w:val="single" w:sz="4" w:space="0" w:color="auto"/>
            </w:tcBorders>
            <w:shd w:val="clear" w:color="auto" w:fill="auto"/>
            <w:noWrap/>
          </w:tcPr>
          <w:p w:rsidR="002D2E90" w:rsidRPr="0015043C" w:rsidRDefault="002D2E90" w:rsidP="00C65143">
            <w:pPr>
              <w:spacing w:before="60" w:after="60"/>
              <w:jc w:val="center"/>
              <w:rPr>
                <w:rFonts w:ascii="Arial Narrow" w:hAnsi="Arial Narrow"/>
                <w:sz w:val="16"/>
                <w:szCs w:val="16"/>
              </w:rPr>
            </w:pPr>
          </w:p>
        </w:tc>
        <w:tc>
          <w:tcPr>
            <w:tcW w:w="1163" w:type="dxa"/>
            <w:tcBorders>
              <w:top w:val="single" w:sz="4" w:space="0" w:color="auto"/>
              <w:left w:val="nil"/>
              <w:bottom w:val="single" w:sz="4" w:space="0" w:color="auto"/>
              <w:right w:val="single" w:sz="4" w:space="0" w:color="auto"/>
            </w:tcBorders>
            <w:shd w:val="clear" w:color="auto" w:fill="auto"/>
            <w:noWrap/>
          </w:tcPr>
          <w:p w:rsidR="002D2E90" w:rsidRPr="00C112F5" w:rsidRDefault="002D2E90" w:rsidP="00C65143">
            <w:pPr>
              <w:spacing w:before="60" w:after="60"/>
              <w:jc w:val="center"/>
              <w:rPr>
                <w:rFonts w:ascii="Arial Narrow" w:hAnsi="Arial Narrow"/>
                <w:b/>
                <w:bCs/>
                <w:sz w:val="16"/>
                <w:szCs w:val="16"/>
              </w:rPr>
            </w:pPr>
            <w:r w:rsidRPr="0015043C">
              <w:rPr>
                <w:rFonts w:ascii="Arial Narrow" w:hAnsi="Arial Narrow"/>
                <w:b/>
                <w:bCs/>
                <w:sz w:val="16"/>
                <w:szCs w:val="16"/>
              </w:rPr>
              <w:t>20</w:t>
            </w:r>
            <w:r>
              <w:rPr>
                <w:rFonts w:ascii="Arial Narrow" w:hAnsi="Arial Narrow"/>
                <w:b/>
                <w:bCs/>
                <w:sz w:val="16"/>
                <w:szCs w:val="16"/>
              </w:rPr>
              <w:t>1</w:t>
            </w:r>
            <w:r w:rsidR="00C112F5">
              <w:rPr>
                <w:rFonts w:ascii="Arial Narrow" w:hAnsi="Arial Narrow"/>
                <w:b/>
                <w:bCs/>
                <w:sz w:val="16"/>
                <w:szCs w:val="16"/>
              </w:rPr>
              <w:t>7</w:t>
            </w:r>
          </w:p>
        </w:tc>
        <w:tc>
          <w:tcPr>
            <w:tcW w:w="1163" w:type="dxa"/>
            <w:tcBorders>
              <w:top w:val="single" w:sz="4" w:space="0" w:color="auto"/>
              <w:left w:val="nil"/>
              <w:bottom w:val="single" w:sz="4" w:space="0" w:color="auto"/>
              <w:right w:val="single" w:sz="4" w:space="0" w:color="auto"/>
            </w:tcBorders>
            <w:shd w:val="clear" w:color="auto" w:fill="auto"/>
            <w:noWrap/>
          </w:tcPr>
          <w:p w:rsidR="002D2E90" w:rsidRPr="00C112F5" w:rsidRDefault="002D2E90" w:rsidP="00C65143">
            <w:pPr>
              <w:spacing w:before="60" w:after="60"/>
              <w:jc w:val="center"/>
              <w:rPr>
                <w:rFonts w:ascii="Arial Narrow" w:hAnsi="Arial Narrow"/>
                <w:b/>
                <w:bCs/>
                <w:sz w:val="16"/>
                <w:szCs w:val="16"/>
              </w:rPr>
            </w:pPr>
            <w:r w:rsidRPr="0015043C">
              <w:rPr>
                <w:rFonts w:ascii="Arial Narrow" w:hAnsi="Arial Narrow"/>
                <w:b/>
                <w:bCs/>
                <w:sz w:val="16"/>
                <w:szCs w:val="16"/>
              </w:rPr>
              <w:t>20</w:t>
            </w:r>
            <w:r>
              <w:rPr>
                <w:rFonts w:ascii="Arial Narrow" w:hAnsi="Arial Narrow"/>
                <w:b/>
                <w:bCs/>
                <w:sz w:val="16"/>
                <w:szCs w:val="16"/>
              </w:rPr>
              <w:t>1</w:t>
            </w:r>
            <w:r w:rsidR="00C112F5">
              <w:rPr>
                <w:rFonts w:ascii="Arial Narrow" w:hAnsi="Arial Narrow"/>
                <w:b/>
                <w:bCs/>
                <w:sz w:val="16"/>
                <w:szCs w:val="16"/>
              </w:rPr>
              <w:t>8</w:t>
            </w:r>
          </w:p>
        </w:tc>
        <w:tc>
          <w:tcPr>
            <w:tcW w:w="1163" w:type="dxa"/>
            <w:tcBorders>
              <w:top w:val="single" w:sz="4" w:space="0" w:color="auto"/>
              <w:left w:val="nil"/>
              <w:bottom w:val="single" w:sz="4" w:space="0" w:color="auto"/>
              <w:right w:val="single" w:sz="4" w:space="0" w:color="auto"/>
            </w:tcBorders>
            <w:shd w:val="clear" w:color="auto" w:fill="auto"/>
            <w:noWrap/>
          </w:tcPr>
          <w:p w:rsidR="002D2E90" w:rsidRPr="0015043C" w:rsidRDefault="002D2E90" w:rsidP="00C65143">
            <w:pPr>
              <w:spacing w:before="60" w:after="60"/>
              <w:jc w:val="center"/>
              <w:rPr>
                <w:rFonts w:ascii="Arial Narrow" w:hAnsi="Arial Narrow"/>
                <w:b/>
                <w:bCs/>
                <w:sz w:val="16"/>
                <w:szCs w:val="16"/>
              </w:rPr>
            </w:pPr>
            <w:r w:rsidRPr="0015043C">
              <w:rPr>
                <w:rFonts w:ascii="Arial Narrow" w:hAnsi="Arial Narrow"/>
                <w:b/>
                <w:bCs/>
                <w:sz w:val="16"/>
                <w:szCs w:val="16"/>
                <w:lang w:val="en-US"/>
              </w:rPr>
              <w:t>20</w:t>
            </w:r>
            <w:r>
              <w:rPr>
                <w:rFonts w:ascii="Arial Narrow" w:hAnsi="Arial Narrow"/>
                <w:b/>
                <w:bCs/>
                <w:sz w:val="16"/>
                <w:szCs w:val="16"/>
              </w:rPr>
              <w:t>1</w:t>
            </w:r>
            <w:r w:rsidR="00C112F5">
              <w:rPr>
                <w:rFonts w:ascii="Arial Narrow" w:hAnsi="Arial Narrow"/>
                <w:b/>
                <w:bCs/>
                <w:sz w:val="16"/>
                <w:szCs w:val="16"/>
              </w:rPr>
              <w:t>9</w:t>
            </w:r>
            <w:r w:rsidRPr="0015043C">
              <w:rPr>
                <w:rFonts w:ascii="Arial Narrow" w:hAnsi="Arial Narrow"/>
                <w:b/>
                <w:bCs/>
                <w:sz w:val="16"/>
                <w:szCs w:val="16"/>
                <w:lang w:val="en-US"/>
              </w:rPr>
              <w:t>*</w:t>
            </w:r>
          </w:p>
        </w:tc>
        <w:tc>
          <w:tcPr>
            <w:tcW w:w="1163" w:type="dxa"/>
            <w:tcBorders>
              <w:top w:val="single" w:sz="4" w:space="0" w:color="auto"/>
              <w:left w:val="nil"/>
              <w:bottom w:val="single" w:sz="4" w:space="0" w:color="auto"/>
              <w:right w:val="single" w:sz="4" w:space="0" w:color="auto"/>
            </w:tcBorders>
            <w:shd w:val="clear" w:color="auto" w:fill="auto"/>
            <w:noWrap/>
          </w:tcPr>
          <w:p w:rsidR="002D2E90" w:rsidRPr="0015043C" w:rsidRDefault="002D2E90" w:rsidP="00C65143">
            <w:pPr>
              <w:spacing w:before="60" w:after="60"/>
              <w:jc w:val="center"/>
              <w:rPr>
                <w:rFonts w:ascii="Arial Narrow" w:hAnsi="Arial Narrow"/>
                <w:b/>
                <w:bCs/>
                <w:sz w:val="16"/>
                <w:szCs w:val="16"/>
              </w:rPr>
            </w:pPr>
            <w:r w:rsidRPr="0015043C">
              <w:rPr>
                <w:rFonts w:ascii="Arial Narrow" w:hAnsi="Arial Narrow"/>
                <w:b/>
                <w:bCs/>
                <w:sz w:val="16"/>
                <w:szCs w:val="16"/>
              </w:rPr>
              <w:t>20</w:t>
            </w:r>
            <w:r w:rsidR="00C112F5">
              <w:rPr>
                <w:rFonts w:ascii="Arial Narrow" w:hAnsi="Arial Narrow"/>
                <w:b/>
                <w:bCs/>
                <w:sz w:val="16"/>
                <w:szCs w:val="16"/>
              </w:rPr>
              <w:t>20</w:t>
            </w:r>
            <w:r w:rsidRPr="0015043C">
              <w:rPr>
                <w:rFonts w:ascii="Arial Narrow" w:hAnsi="Arial Narrow"/>
                <w:b/>
                <w:bCs/>
                <w:sz w:val="16"/>
                <w:szCs w:val="16"/>
              </w:rPr>
              <w:t>**</w:t>
            </w:r>
          </w:p>
        </w:tc>
      </w:tr>
      <w:tr w:rsidR="002D2E90" w:rsidRPr="0015043C" w:rsidTr="00C65143">
        <w:tc>
          <w:tcPr>
            <w:tcW w:w="4788" w:type="dxa"/>
            <w:tcBorders>
              <w:top w:val="single" w:sz="4" w:space="0" w:color="auto"/>
              <w:left w:val="single" w:sz="4" w:space="0" w:color="auto"/>
            </w:tcBorders>
            <w:shd w:val="clear" w:color="auto" w:fill="auto"/>
            <w:noWrap/>
            <w:vAlign w:val="bottom"/>
          </w:tcPr>
          <w:p w:rsidR="002D2E90" w:rsidRPr="0015043C" w:rsidRDefault="002D2E90" w:rsidP="00C65143">
            <w:pPr>
              <w:rPr>
                <w:rFonts w:ascii="Arial" w:hAnsi="Arial"/>
                <w:b/>
                <w:bCs/>
                <w:sz w:val="16"/>
                <w:szCs w:val="20"/>
              </w:rPr>
            </w:pPr>
          </w:p>
        </w:tc>
        <w:tc>
          <w:tcPr>
            <w:tcW w:w="1163" w:type="dxa"/>
            <w:tcBorders>
              <w:top w:val="single" w:sz="4" w:space="0" w:color="auto"/>
            </w:tcBorders>
            <w:shd w:val="clear" w:color="auto" w:fill="auto"/>
            <w:noWrap/>
            <w:vAlign w:val="bottom"/>
          </w:tcPr>
          <w:p w:rsidR="002D2E90" w:rsidRPr="0015043C" w:rsidRDefault="002D2E90" w:rsidP="00C65143">
            <w:pPr>
              <w:jc w:val="right"/>
              <w:rPr>
                <w:rFonts w:ascii="Arial Narrow" w:hAnsi="Arial Narrow"/>
                <w:b/>
                <w:bCs/>
                <w:sz w:val="16"/>
                <w:szCs w:val="16"/>
              </w:rPr>
            </w:pPr>
          </w:p>
        </w:tc>
        <w:tc>
          <w:tcPr>
            <w:tcW w:w="1163" w:type="dxa"/>
            <w:tcBorders>
              <w:top w:val="single" w:sz="4" w:space="0" w:color="auto"/>
            </w:tcBorders>
            <w:shd w:val="clear" w:color="auto" w:fill="auto"/>
            <w:noWrap/>
            <w:vAlign w:val="bottom"/>
          </w:tcPr>
          <w:p w:rsidR="002D2E90" w:rsidRPr="0015043C" w:rsidRDefault="002D2E90" w:rsidP="00C65143">
            <w:pPr>
              <w:jc w:val="right"/>
              <w:rPr>
                <w:rFonts w:ascii="Arial Narrow" w:hAnsi="Arial Narrow"/>
                <w:b/>
                <w:bCs/>
                <w:sz w:val="16"/>
                <w:szCs w:val="16"/>
              </w:rPr>
            </w:pPr>
          </w:p>
        </w:tc>
        <w:tc>
          <w:tcPr>
            <w:tcW w:w="1163" w:type="dxa"/>
            <w:tcBorders>
              <w:top w:val="single" w:sz="4" w:space="0" w:color="auto"/>
            </w:tcBorders>
            <w:shd w:val="clear" w:color="auto" w:fill="auto"/>
            <w:noWrap/>
            <w:vAlign w:val="bottom"/>
          </w:tcPr>
          <w:p w:rsidR="002D2E90" w:rsidRPr="0015043C" w:rsidRDefault="002D2E90" w:rsidP="00C65143">
            <w:pPr>
              <w:jc w:val="right"/>
              <w:rPr>
                <w:rFonts w:ascii="Arial Narrow" w:hAnsi="Arial Narrow"/>
                <w:b/>
                <w:bCs/>
                <w:sz w:val="16"/>
                <w:szCs w:val="16"/>
              </w:rPr>
            </w:pPr>
          </w:p>
        </w:tc>
        <w:tc>
          <w:tcPr>
            <w:tcW w:w="1163" w:type="dxa"/>
            <w:tcBorders>
              <w:top w:val="single" w:sz="4" w:space="0" w:color="auto"/>
              <w:right w:val="single" w:sz="4" w:space="0" w:color="auto"/>
            </w:tcBorders>
            <w:shd w:val="clear" w:color="auto" w:fill="auto"/>
            <w:noWrap/>
            <w:vAlign w:val="bottom"/>
          </w:tcPr>
          <w:p w:rsidR="002D2E90" w:rsidRPr="0015043C" w:rsidRDefault="002D2E90" w:rsidP="00C65143">
            <w:pPr>
              <w:jc w:val="right"/>
              <w:rPr>
                <w:rFonts w:ascii="Arial Narrow" w:hAnsi="Arial Narrow"/>
                <w:b/>
                <w:bCs/>
                <w:sz w:val="16"/>
                <w:szCs w:val="16"/>
              </w:rPr>
            </w:pPr>
          </w:p>
        </w:tc>
      </w:tr>
      <w:tr w:rsidR="00C112F5" w:rsidRPr="0015043C" w:rsidTr="00C112F5">
        <w:tc>
          <w:tcPr>
            <w:tcW w:w="4788" w:type="dxa"/>
            <w:tcBorders>
              <w:left w:val="single" w:sz="4" w:space="0" w:color="auto"/>
            </w:tcBorders>
            <w:shd w:val="clear" w:color="auto" w:fill="D9D9D9" w:themeFill="background1" w:themeFillShade="D9"/>
            <w:noWrap/>
            <w:vAlign w:val="bottom"/>
          </w:tcPr>
          <w:p w:rsidR="00C112F5" w:rsidRPr="0015043C" w:rsidRDefault="00C112F5" w:rsidP="00C65143">
            <w:pPr>
              <w:tabs>
                <w:tab w:val="left" w:pos="360"/>
              </w:tabs>
              <w:spacing w:before="40" w:after="40"/>
              <w:rPr>
                <w:rFonts w:ascii="Arial Narrow" w:hAnsi="Arial Narrow"/>
                <w:b/>
                <w:bCs/>
                <w:sz w:val="16"/>
                <w:szCs w:val="16"/>
              </w:rPr>
            </w:pPr>
            <w:r w:rsidRPr="0015043C">
              <w:rPr>
                <w:rFonts w:ascii="Arial" w:hAnsi="Arial"/>
                <w:b/>
                <w:bCs/>
                <w:sz w:val="16"/>
                <w:szCs w:val="20"/>
              </w:rPr>
              <w:t>Α.</w:t>
            </w:r>
            <w:r w:rsidRPr="0015043C">
              <w:rPr>
                <w:rFonts w:ascii="Arial" w:hAnsi="Arial"/>
                <w:b/>
                <w:bCs/>
                <w:sz w:val="16"/>
                <w:szCs w:val="20"/>
              </w:rPr>
              <w:tab/>
            </w:r>
            <w:r w:rsidRPr="0015043C">
              <w:rPr>
                <w:rFonts w:ascii="Arial Narrow" w:hAnsi="Arial Narrow"/>
                <w:b/>
                <w:bCs/>
                <w:sz w:val="16"/>
                <w:szCs w:val="16"/>
              </w:rPr>
              <w:t xml:space="preserve">Χρέος Κεντρικής </w:t>
            </w:r>
            <w:r>
              <w:rPr>
                <w:rFonts w:ascii="Arial Narrow" w:hAnsi="Arial Narrow"/>
                <w:b/>
                <w:bCs/>
                <w:sz w:val="16"/>
                <w:szCs w:val="16"/>
              </w:rPr>
              <w:t>Διοίκησης</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328.704</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358.949</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350.960</w:t>
            </w:r>
          </w:p>
        </w:tc>
        <w:tc>
          <w:tcPr>
            <w:tcW w:w="1163" w:type="dxa"/>
            <w:tcBorders>
              <w:right w:val="single" w:sz="4" w:space="0" w:color="auto"/>
            </w:tcBorders>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351.160</w:t>
            </w:r>
          </w:p>
        </w:tc>
      </w:tr>
      <w:tr w:rsidR="00C112F5" w:rsidRPr="0015043C" w:rsidTr="00C112F5">
        <w:tc>
          <w:tcPr>
            <w:tcW w:w="4788" w:type="dxa"/>
            <w:tcBorders>
              <w:left w:val="single" w:sz="4" w:space="0" w:color="auto"/>
            </w:tcBorders>
            <w:shd w:val="clear" w:color="auto" w:fill="auto"/>
            <w:noWrap/>
            <w:vAlign w:val="bottom"/>
          </w:tcPr>
          <w:p w:rsidR="00C112F5" w:rsidRPr="006A2A00" w:rsidRDefault="00C112F5" w:rsidP="00C65143">
            <w:pPr>
              <w:tabs>
                <w:tab w:val="left" w:pos="360"/>
              </w:tabs>
              <w:spacing w:before="40" w:after="40"/>
              <w:rPr>
                <w:rFonts w:ascii="Arial Narrow" w:hAnsi="Arial Narrow"/>
                <w:sz w:val="16"/>
                <w:szCs w:val="16"/>
              </w:rPr>
            </w:pPr>
            <w:r>
              <w:rPr>
                <w:rFonts w:ascii="Arial" w:hAnsi="Arial"/>
                <w:sz w:val="16"/>
                <w:szCs w:val="20"/>
              </w:rPr>
              <w:t>Β</w:t>
            </w:r>
            <w:r w:rsidRPr="0015043C">
              <w:rPr>
                <w:rFonts w:ascii="Arial" w:hAnsi="Arial"/>
                <w:sz w:val="16"/>
                <w:szCs w:val="20"/>
              </w:rPr>
              <w:tab/>
            </w:r>
            <w:r w:rsidRPr="0015043C">
              <w:rPr>
                <w:rFonts w:ascii="Arial Narrow" w:hAnsi="Arial Narrow"/>
                <w:sz w:val="16"/>
                <w:szCs w:val="16"/>
              </w:rPr>
              <w:t xml:space="preserve">Χρέος ΝΠ, </w:t>
            </w:r>
            <w:r>
              <w:rPr>
                <w:rFonts w:ascii="Arial Narrow" w:hAnsi="Arial Narrow"/>
                <w:sz w:val="16"/>
                <w:szCs w:val="16"/>
              </w:rPr>
              <w:t>κέρματα κ.λπ. μείον επενδύσεις σε τίτλους ΕΔ</w:t>
            </w:r>
          </w:p>
        </w:tc>
        <w:tc>
          <w:tcPr>
            <w:tcW w:w="1163" w:type="dxa"/>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-384</w:t>
            </w:r>
          </w:p>
        </w:tc>
        <w:tc>
          <w:tcPr>
            <w:tcW w:w="1163" w:type="dxa"/>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-7.723</w:t>
            </w:r>
          </w:p>
        </w:tc>
        <w:tc>
          <w:tcPr>
            <w:tcW w:w="1163" w:type="dxa"/>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-7.160</w:t>
            </w:r>
          </w:p>
        </w:tc>
        <w:tc>
          <w:tcPr>
            <w:tcW w:w="1163" w:type="dxa"/>
            <w:tcBorders>
              <w:right w:val="single" w:sz="4" w:space="0" w:color="auto"/>
            </w:tcBorders>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-7.160</w:t>
            </w:r>
          </w:p>
        </w:tc>
      </w:tr>
      <w:tr w:rsidR="00C112F5" w:rsidRPr="0015043C" w:rsidTr="00C112F5">
        <w:tc>
          <w:tcPr>
            <w:tcW w:w="4788" w:type="dxa"/>
            <w:tcBorders>
              <w:left w:val="single" w:sz="4" w:space="0" w:color="auto"/>
            </w:tcBorders>
            <w:shd w:val="clear" w:color="auto" w:fill="D9D9D9" w:themeFill="background1" w:themeFillShade="D9"/>
            <w:noWrap/>
            <w:vAlign w:val="bottom"/>
          </w:tcPr>
          <w:p w:rsidR="00C112F5" w:rsidRPr="0015043C" w:rsidRDefault="00C112F5" w:rsidP="00C65143">
            <w:pPr>
              <w:tabs>
                <w:tab w:val="left" w:pos="360"/>
              </w:tabs>
              <w:spacing w:before="40" w:after="40"/>
              <w:rPr>
                <w:rFonts w:ascii="Arial Narrow" w:hAnsi="Arial Narrow"/>
                <w:b/>
                <w:bCs/>
                <w:sz w:val="16"/>
                <w:szCs w:val="16"/>
              </w:rPr>
            </w:pPr>
            <w:r w:rsidRPr="0015043C">
              <w:rPr>
                <w:rFonts w:ascii="Arial" w:hAnsi="Arial"/>
                <w:b/>
                <w:bCs/>
                <w:sz w:val="16"/>
                <w:szCs w:val="20"/>
              </w:rPr>
              <w:t>Γ.</w:t>
            </w:r>
            <w:r w:rsidRPr="0015043C">
              <w:rPr>
                <w:rFonts w:ascii="Arial" w:hAnsi="Arial"/>
                <w:b/>
                <w:bCs/>
                <w:sz w:val="16"/>
                <w:szCs w:val="20"/>
              </w:rPr>
              <w:tab/>
            </w:r>
            <w:r w:rsidRPr="0015043C">
              <w:rPr>
                <w:rFonts w:ascii="Arial Narrow" w:hAnsi="Arial Narrow"/>
                <w:b/>
                <w:bCs/>
                <w:sz w:val="16"/>
                <w:szCs w:val="16"/>
              </w:rPr>
              <w:t>Χρέος Κεντρικής Κυβέρνησης κατά ESA (A+B)</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328.320</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351.226</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343.800</w:t>
            </w:r>
          </w:p>
        </w:tc>
        <w:tc>
          <w:tcPr>
            <w:tcW w:w="1163" w:type="dxa"/>
            <w:tcBorders>
              <w:right w:val="single" w:sz="4" w:space="0" w:color="auto"/>
            </w:tcBorders>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344.000</w:t>
            </w:r>
          </w:p>
        </w:tc>
      </w:tr>
      <w:tr w:rsidR="00C112F5" w:rsidRPr="0015043C" w:rsidTr="00C112F5">
        <w:tc>
          <w:tcPr>
            <w:tcW w:w="4788" w:type="dxa"/>
            <w:tcBorders>
              <w:left w:val="single" w:sz="4" w:space="0" w:color="auto"/>
            </w:tcBorders>
            <w:shd w:val="clear" w:color="auto" w:fill="auto"/>
            <w:noWrap/>
            <w:vAlign w:val="bottom"/>
          </w:tcPr>
          <w:p w:rsidR="00C112F5" w:rsidRPr="0015043C" w:rsidRDefault="00C112F5" w:rsidP="00C65143">
            <w:pPr>
              <w:tabs>
                <w:tab w:val="left" w:pos="360"/>
              </w:tabs>
              <w:spacing w:before="40" w:after="40"/>
              <w:rPr>
                <w:rFonts w:ascii="Arial Narrow" w:hAnsi="Arial Narrow"/>
                <w:sz w:val="16"/>
                <w:szCs w:val="16"/>
              </w:rPr>
            </w:pPr>
            <w:r>
              <w:rPr>
                <w:rFonts w:ascii="Arial" w:hAnsi="Arial"/>
                <w:sz w:val="16"/>
                <w:szCs w:val="20"/>
              </w:rPr>
              <w:t>Δ</w:t>
            </w:r>
            <w:r w:rsidRPr="0015043C">
              <w:rPr>
                <w:rFonts w:ascii="Arial" w:hAnsi="Arial"/>
                <w:sz w:val="16"/>
                <w:szCs w:val="20"/>
              </w:rPr>
              <w:tab/>
            </w:r>
            <w:r w:rsidRPr="0015043C">
              <w:rPr>
                <w:rFonts w:ascii="Arial Narrow" w:hAnsi="Arial Narrow"/>
                <w:sz w:val="16"/>
                <w:szCs w:val="16"/>
              </w:rPr>
              <w:t>Χρέος ΟΤΑ, OKA</w:t>
            </w:r>
            <w:r>
              <w:rPr>
                <w:rFonts w:ascii="Arial Narrow" w:hAnsi="Arial Narrow"/>
                <w:sz w:val="16"/>
                <w:szCs w:val="16"/>
              </w:rPr>
              <w:t xml:space="preserve"> μείον ενδοκυβερνητικό χρέος</w:t>
            </w:r>
          </w:p>
        </w:tc>
        <w:tc>
          <w:tcPr>
            <w:tcW w:w="1163" w:type="dxa"/>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-10.836</w:t>
            </w:r>
          </w:p>
        </w:tc>
        <w:tc>
          <w:tcPr>
            <w:tcW w:w="1163" w:type="dxa"/>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-16.505</w:t>
            </w:r>
          </w:p>
        </w:tc>
        <w:tc>
          <w:tcPr>
            <w:tcW w:w="1163" w:type="dxa"/>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-14.500</w:t>
            </w:r>
          </w:p>
        </w:tc>
        <w:tc>
          <w:tcPr>
            <w:tcW w:w="1163" w:type="dxa"/>
            <w:tcBorders>
              <w:right w:val="single" w:sz="4" w:space="0" w:color="auto"/>
            </w:tcBorders>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-14.500</w:t>
            </w:r>
          </w:p>
        </w:tc>
      </w:tr>
      <w:tr w:rsidR="00C112F5" w:rsidRPr="0015043C" w:rsidTr="00C112F5">
        <w:tc>
          <w:tcPr>
            <w:tcW w:w="4788" w:type="dxa"/>
            <w:tcBorders>
              <w:left w:val="single" w:sz="4" w:space="0" w:color="auto"/>
            </w:tcBorders>
            <w:shd w:val="clear" w:color="auto" w:fill="D9D9D9" w:themeFill="background1" w:themeFillShade="D9"/>
            <w:noWrap/>
            <w:vAlign w:val="bottom"/>
          </w:tcPr>
          <w:p w:rsidR="00C112F5" w:rsidRPr="0015043C" w:rsidRDefault="00C112F5" w:rsidP="00C65143">
            <w:pPr>
              <w:tabs>
                <w:tab w:val="left" w:pos="360"/>
              </w:tabs>
              <w:spacing w:before="40" w:after="40"/>
              <w:rPr>
                <w:rFonts w:ascii="Arial Narrow" w:hAnsi="Arial Narrow"/>
                <w:b/>
                <w:bCs/>
                <w:sz w:val="16"/>
                <w:szCs w:val="16"/>
              </w:rPr>
            </w:pPr>
            <w:r w:rsidRPr="0015043C">
              <w:rPr>
                <w:rFonts w:ascii="Arial" w:hAnsi="Arial"/>
                <w:b/>
                <w:bCs/>
                <w:sz w:val="16"/>
                <w:szCs w:val="20"/>
              </w:rPr>
              <w:t>Ε.</w:t>
            </w:r>
            <w:r w:rsidRPr="0015043C">
              <w:rPr>
                <w:rFonts w:ascii="Arial" w:hAnsi="Arial"/>
                <w:b/>
                <w:bCs/>
                <w:sz w:val="16"/>
                <w:szCs w:val="20"/>
              </w:rPr>
              <w:tab/>
            </w:r>
            <w:r w:rsidRPr="0015043C">
              <w:rPr>
                <w:rFonts w:ascii="Arial Narrow" w:hAnsi="Arial Narrow"/>
                <w:b/>
                <w:bCs/>
                <w:sz w:val="16"/>
                <w:szCs w:val="16"/>
              </w:rPr>
              <w:t>Χρέος Γενικής Κυβέρνησης (Γ+Δ)</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317.484</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334.721</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329.300</w:t>
            </w:r>
          </w:p>
        </w:tc>
        <w:tc>
          <w:tcPr>
            <w:tcW w:w="1163" w:type="dxa"/>
            <w:tcBorders>
              <w:right w:val="single" w:sz="4" w:space="0" w:color="auto"/>
            </w:tcBorders>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329.500</w:t>
            </w:r>
          </w:p>
        </w:tc>
      </w:tr>
      <w:tr w:rsidR="00C112F5" w:rsidRPr="0015043C" w:rsidTr="00C112F5">
        <w:tc>
          <w:tcPr>
            <w:tcW w:w="4788" w:type="dxa"/>
            <w:tcBorders>
              <w:left w:val="single" w:sz="4" w:space="0" w:color="auto"/>
            </w:tcBorders>
            <w:shd w:val="clear" w:color="auto" w:fill="D9D9D9" w:themeFill="background1" w:themeFillShade="D9"/>
            <w:noWrap/>
            <w:vAlign w:val="bottom"/>
          </w:tcPr>
          <w:p w:rsidR="00C112F5" w:rsidRPr="0015043C" w:rsidRDefault="00C112F5" w:rsidP="00C65143">
            <w:pPr>
              <w:tabs>
                <w:tab w:val="left" w:pos="360"/>
              </w:tabs>
              <w:spacing w:before="40" w:after="40"/>
              <w:rPr>
                <w:rFonts w:ascii="Arial Narrow" w:hAnsi="Arial Narrow"/>
                <w:sz w:val="16"/>
                <w:szCs w:val="16"/>
              </w:rPr>
            </w:pPr>
            <w:r w:rsidRPr="0015043C">
              <w:rPr>
                <w:rFonts w:ascii="Arial Narrow" w:hAnsi="Arial Narrow"/>
                <w:sz w:val="16"/>
                <w:szCs w:val="16"/>
              </w:rPr>
              <w:t> </w:t>
            </w:r>
            <w:r w:rsidRPr="0015043C">
              <w:rPr>
                <w:rFonts w:ascii="Arial Narrow" w:hAnsi="Arial Narrow"/>
                <w:sz w:val="16"/>
                <w:szCs w:val="16"/>
              </w:rPr>
              <w:tab/>
            </w:r>
            <w:r w:rsidRPr="0015043C">
              <w:rPr>
                <w:rFonts w:ascii="Arial Narrow" w:hAnsi="Arial Narrow"/>
                <w:b/>
                <w:bCs/>
                <w:sz w:val="16"/>
                <w:szCs w:val="16"/>
              </w:rPr>
              <w:t>(ως % του ΑΕΠ)</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176,2%</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181,2%</w:t>
            </w:r>
          </w:p>
        </w:tc>
        <w:tc>
          <w:tcPr>
            <w:tcW w:w="1163" w:type="dxa"/>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173,3%</w:t>
            </w:r>
          </w:p>
        </w:tc>
        <w:tc>
          <w:tcPr>
            <w:tcW w:w="1163" w:type="dxa"/>
            <w:tcBorders>
              <w:right w:val="single" w:sz="4" w:space="0" w:color="auto"/>
            </w:tcBorders>
            <w:shd w:val="clear" w:color="auto" w:fill="D9D9D9" w:themeFill="background1" w:themeFillShade="D9"/>
            <w:noWrap/>
            <w:vAlign w:val="center"/>
          </w:tcPr>
          <w:p w:rsidR="00C112F5" w:rsidRDefault="00C112F5" w:rsidP="00C112F5">
            <w:pPr>
              <w:ind w:right="227"/>
              <w:jc w:val="right"/>
              <w:rPr>
                <w:rFonts w:ascii="Arial Narrow" w:hAnsi="Arial Narrow" w:cs="Arial"/>
                <w:b/>
                <w:bCs/>
                <w:sz w:val="16"/>
                <w:szCs w:val="16"/>
              </w:rPr>
            </w:pPr>
            <w:r>
              <w:rPr>
                <w:rFonts w:ascii="Arial Narrow" w:hAnsi="Arial Narrow" w:cs="Arial"/>
                <w:b/>
                <w:bCs/>
                <w:sz w:val="16"/>
                <w:szCs w:val="16"/>
              </w:rPr>
              <w:t>167,0%</w:t>
            </w:r>
          </w:p>
        </w:tc>
      </w:tr>
      <w:tr w:rsidR="00C112F5" w:rsidRPr="0015043C" w:rsidTr="00C112F5">
        <w:tc>
          <w:tcPr>
            <w:tcW w:w="4788" w:type="dxa"/>
            <w:tcBorders>
              <w:left w:val="single" w:sz="4" w:space="0" w:color="auto"/>
              <w:bottom w:val="single" w:sz="4" w:space="0" w:color="auto"/>
            </w:tcBorders>
            <w:shd w:val="clear" w:color="auto" w:fill="auto"/>
            <w:noWrap/>
            <w:vAlign w:val="bottom"/>
          </w:tcPr>
          <w:p w:rsidR="00C112F5" w:rsidRPr="0015043C" w:rsidRDefault="00C112F5" w:rsidP="00C65143">
            <w:pPr>
              <w:spacing w:before="40" w:after="40"/>
              <w:rPr>
                <w:rFonts w:ascii="Arial Narrow" w:hAnsi="Arial Narrow"/>
                <w:sz w:val="16"/>
                <w:szCs w:val="16"/>
              </w:rPr>
            </w:pPr>
            <w:r w:rsidRPr="0015043C">
              <w:rPr>
                <w:rFonts w:ascii="Arial Narrow" w:hAnsi="Arial Narrow"/>
                <w:sz w:val="16"/>
                <w:szCs w:val="16"/>
              </w:rPr>
              <w:t>ΑΕΠ</w:t>
            </w:r>
          </w:p>
        </w:tc>
        <w:tc>
          <w:tcPr>
            <w:tcW w:w="1163" w:type="dxa"/>
            <w:tcBorders>
              <w:bottom w:val="single" w:sz="4" w:space="0" w:color="auto"/>
            </w:tcBorders>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180.218</w:t>
            </w:r>
          </w:p>
        </w:tc>
        <w:tc>
          <w:tcPr>
            <w:tcW w:w="1163" w:type="dxa"/>
            <w:tcBorders>
              <w:bottom w:val="single" w:sz="4" w:space="0" w:color="auto"/>
            </w:tcBorders>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184.714</w:t>
            </w:r>
          </w:p>
        </w:tc>
        <w:tc>
          <w:tcPr>
            <w:tcW w:w="1163" w:type="dxa"/>
            <w:tcBorders>
              <w:bottom w:val="single" w:sz="4" w:space="0" w:color="auto"/>
            </w:tcBorders>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190.004</w:t>
            </w:r>
          </w:p>
        </w:tc>
        <w:tc>
          <w:tcPr>
            <w:tcW w:w="1163" w:type="dxa"/>
            <w:tcBorders>
              <w:bottom w:val="single" w:sz="4" w:space="0" w:color="auto"/>
              <w:right w:val="single" w:sz="4" w:space="0" w:color="auto"/>
            </w:tcBorders>
            <w:shd w:val="clear" w:color="auto" w:fill="auto"/>
            <w:noWrap/>
            <w:vAlign w:val="center"/>
          </w:tcPr>
          <w:p w:rsidR="00C112F5" w:rsidRDefault="00C112F5" w:rsidP="00C112F5">
            <w:pPr>
              <w:ind w:right="227"/>
              <w:jc w:val="right"/>
              <w:rPr>
                <w:rFonts w:ascii="Arial Narrow" w:hAnsi="Arial Narrow" w:cs="Arial"/>
                <w:sz w:val="16"/>
                <w:szCs w:val="16"/>
              </w:rPr>
            </w:pPr>
            <w:r>
              <w:rPr>
                <w:rFonts w:ascii="Arial Narrow" w:hAnsi="Arial Narrow" w:cs="Arial"/>
                <w:sz w:val="16"/>
                <w:szCs w:val="16"/>
              </w:rPr>
              <w:t>197.315</w:t>
            </w:r>
          </w:p>
        </w:tc>
      </w:tr>
    </w:tbl>
    <w:p w:rsidR="002D2E90" w:rsidRPr="005E6798" w:rsidRDefault="002D2E90" w:rsidP="002D2E90">
      <w:pPr>
        <w:tabs>
          <w:tab w:val="left" w:pos="426"/>
        </w:tabs>
        <w:spacing w:line="228" w:lineRule="auto"/>
        <w:ind w:left="426" w:right="-285" w:hanging="426"/>
        <w:jc w:val="both"/>
        <w:rPr>
          <w:rFonts w:ascii="Arial Narrow" w:hAnsi="Arial Narrow"/>
          <w:sz w:val="18"/>
          <w:szCs w:val="16"/>
        </w:rPr>
      </w:pPr>
      <w:r w:rsidRPr="005E6798">
        <w:rPr>
          <w:rFonts w:ascii="Arial Narrow" w:hAnsi="Arial Narrow"/>
          <w:sz w:val="18"/>
          <w:szCs w:val="16"/>
        </w:rPr>
        <w:t>*</w:t>
      </w:r>
      <w:r w:rsidRPr="005E6798">
        <w:rPr>
          <w:rFonts w:ascii="Arial Narrow" w:hAnsi="Arial Narrow"/>
          <w:sz w:val="18"/>
          <w:szCs w:val="16"/>
        </w:rPr>
        <w:tab/>
        <w:t>Εκτιμήσεις</w:t>
      </w:r>
      <w:r>
        <w:rPr>
          <w:rFonts w:ascii="Arial Narrow" w:hAnsi="Arial Narrow"/>
          <w:sz w:val="18"/>
          <w:szCs w:val="16"/>
          <w:lang w:val="en-GB"/>
        </w:rPr>
        <w:t xml:space="preserve"> </w:t>
      </w:r>
      <w:r w:rsidRPr="005E6798">
        <w:rPr>
          <w:rFonts w:ascii="Arial Narrow" w:hAnsi="Arial Narrow"/>
          <w:sz w:val="18"/>
          <w:szCs w:val="16"/>
        </w:rPr>
        <w:t xml:space="preserve"> **</w:t>
      </w:r>
      <w:r w:rsidRPr="005E6798">
        <w:rPr>
          <w:rFonts w:ascii="Arial Narrow" w:hAnsi="Arial Narrow"/>
          <w:sz w:val="18"/>
          <w:szCs w:val="16"/>
        </w:rPr>
        <w:tab/>
        <w:t>Προβλέψεις</w:t>
      </w:r>
    </w:p>
    <w:p w:rsidR="002D2E90" w:rsidRDefault="002D2E90" w:rsidP="002D2E90">
      <w:pPr>
        <w:tabs>
          <w:tab w:val="left" w:pos="180"/>
        </w:tabs>
        <w:jc w:val="both"/>
        <w:rPr>
          <w:rFonts w:ascii="Arial Narrow" w:hAnsi="Arial Narrow"/>
          <w:sz w:val="16"/>
          <w:szCs w:val="16"/>
        </w:rPr>
      </w:pPr>
      <w:r w:rsidRPr="00666622">
        <w:rPr>
          <w:rFonts w:ascii="Arial Narrow" w:hAnsi="Arial Narrow"/>
          <w:sz w:val="18"/>
          <w:szCs w:val="16"/>
        </w:rPr>
        <w:t xml:space="preserve">Πηγή:  </w:t>
      </w:r>
      <w:r>
        <w:rPr>
          <w:rFonts w:ascii="Arial Narrow" w:hAnsi="Arial Narrow"/>
          <w:sz w:val="16"/>
          <w:szCs w:val="16"/>
        </w:rPr>
        <w:t>ΟΔΔΗΧ</w:t>
      </w:r>
    </w:p>
    <w:p w:rsidR="001A423E" w:rsidRDefault="001A423E">
      <w:pPr>
        <w:rPr>
          <w:rFonts w:ascii="Arial Narrow" w:hAnsi="Arial Narrow"/>
          <w:b/>
          <w:color w:val="FFFFFF"/>
          <w:sz w:val="26"/>
          <w:szCs w:val="26"/>
        </w:rPr>
      </w:pPr>
    </w:p>
    <w:p w:rsidR="00B0633D" w:rsidRDefault="00B0633D" w:rsidP="00B0633D">
      <w:pPr>
        <w:autoSpaceDE w:val="0"/>
        <w:autoSpaceDN w:val="0"/>
        <w:adjustRightInd w:val="0"/>
        <w:jc w:val="both"/>
        <w:rPr>
          <w:sz w:val="22"/>
          <w:szCs w:val="22"/>
        </w:rPr>
      </w:pPr>
    </w:p>
    <w:tbl>
      <w:tblPr>
        <w:tblW w:w="8432" w:type="dxa"/>
        <w:jc w:val="center"/>
        <w:tblLayout w:type="fixed"/>
        <w:tblLook w:val="0000"/>
      </w:tblPr>
      <w:tblGrid>
        <w:gridCol w:w="4608"/>
        <w:gridCol w:w="1559"/>
        <w:gridCol w:w="1389"/>
        <w:gridCol w:w="876"/>
      </w:tblGrid>
      <w:tr w:rsidR="00B0633D" w:rsidRPr="0015043C" w:rsidTr="00C65143">
        <w:trPr>
          <w:trHeight w:val="520"/>
          <w:jc w:val="center"/>
        </w:trPr>
        <w:tc>
          <w:tcPr>
            <w:tcW w:w="8432" w:type="dxa"/>
            <w:gridSpan w:val="4"/>
            <w:tcBorders>
              <w:top w:val="single" w:sz="4" w:space="0" w:color="auto"/>
              <w:left w:val="single" w:sz="4" w:space="0" w:color="auto"/>
              <w:right w:val="single" w:sz="4" w:space="0" w:color="auto"/>
            </w:tcBorders>
            <w:shd w:val="clear" w:color="auto" w:fill="404040" w:themeFill="text1" w:themeFillTint="BF"/>
            <w:noWrap/>
            <w:tcMar>
              <w:left w:w="28" w:type="dxa"/>
              <w:right w:w="28" w:type="dxa"/>
            </w:tcMar>
            <w:vAlign w:val="center"/>
          </w:tcPr>
          <w:p w:rsidR="00B0633D" w:rsidRPr="006A2A00" w:rsidRDefault="00B0633D" w:rsidP="00C65143">
            <w:pPr>
              <w:spacing w:before="120"/>
              <w:jc w:val="center"/>
              <w:rPr>
                <w:rFonts w:ascii="Arial Narrow" w:hAnsi="Arial Narrow"/>
                <w:b/>
                <w:bCs/>
                <w:color w:val="FFFFFF"/>
                <w:szCs w:val="16"/>
              </w:rPr>
            </w:pPr>
            <w:r>
              <w:rPr>
                <w:rFonts w:ascii="Arial Narrow" w:hAnsi="Arial Narrow"/>
                <w:b/>
                <w:bCs/>
                <w:color w:val="FFFFFF"/>
                <w:szCs w:val="16"/>
              </w:rPr>
              <w:t>Πίνακας 4</w:t>
            </w:r>
            <w:r w:rsidRPr="006A2A00">
              <w:rPr>
                <w:rFonts w:ascii="Arial Narrow" w:hAnsi="Arial Narrow"/>
                <w:b/>
                <w:bCs/>
                <w:color w:val="FFFFFF"/>
                <w:szCs w:val="16"/>
              </w:rPr>
              <w:t>.3  Εξέλιξη δημ</w:t>
            </w:r>
            <w:r>
              <w:rPr>
                <w:rFonts w:ascii="Arial Narrow" w:hAnsi="Arial Narrow"/>
                <w:b/>
                <w:bCs/>
                <w:color w:val="FFFFFF"/>
                <w:szCs w:val="16"/>
              </w:rPr>
              <w:t>όσιου</w:t>
            </w:r>
            <w:r w:rsidRPr="006A2A00">
              <w:rPr>
                <w:rFonts w:ascii="Arial Narrow" w:hAnsi="Arial Narrow"/>
                <w:b/>
                <w:bCs/>
                <w:color w:val="FFFFFF"/>
                <w:szCs w:val="16"/>
              </w:rPr>
              <w:t xml:space="preserve"> χρέους</w:t>
            </w:r>
            <w:r>
              <w:rPr>
                <w:rFonts w:ascii="Arial Narrow" w:hAnsi="Arial Narrow"/>
                <w:b/>
                <w:bCs/>
                <w:color w:val="FFFFFF"/>
                <w:szCs w:val="16"/>
              </w:rPr>
              <w:t xml:space="preserve"> Γενικής Κυβέρνησης</w:t>
            </w:r>
          </w:p>
          <w:p w:rsidR="00B0633D" w:rsidRPr="0015043C" w:rsidRDefault="00B0633D" w:rsidP="00C65143">
            <w:pPr>
              <w:spacing w:after="120"/>
              <w:jc w:val="center"/>
              <w:rPr>
                <w:rFonts w:ascii="Arial Narrow" w:hAnsi="Arial Narrow"/>
                <w:b/>
                <w:bCs/>
                <w:color w:val="FFFFFF"/>
                <w:szCs w:val="16"/>
              </w:rPr>
            </w:pPr>
            <w:r w:rsidRPr="0015043C">
              <w:rPr>
                <w:rFonts w:ascii="Arial Narrow" w:hAnsi="Arial Narrow"/>
                <w:b/>
                <w:bCs/>
                <w:color w:val="FFFFFF"/>
                <w:szCs w:val="16"/>
              </w:rPr>
              <w:t>(σε εκατ. ευρώ)</w:t>
            </w:r>
          </w:p>
        </w:tc>
      </w:tr>
      <w:tr w:rsidR="00B0633D" w:rsidRPr="00E304E4" w:rsidTr="00C65143">
        <w:trPr>
          <w:trHeight w:val="170"/>
          <w:jc w:val="center"/>
        </w:trPr>
        <w:tc>
          <w:tcPr>
            <w:tcW w:w="8432" w:type="dxa"/>
            <w:gridSpan w:val="4"/>
            <w:tcBorders>
              <w:left w:val="single" w:sz="4" w:space="0" w:color="auto"/>
              <w:bottom w:val="single" w:sz="4" w:space="0" w:color="auto"/>
              <w:right w:val="single" w:sz="4" w:space="0" w:color="auto"/>
            </w:tcBorders>
            <w:shd w:val="clear" w:color="auto" w:fill="auto"/>
            <w:noWrap/>
            <w:tcMar>
              <w:left w:w="28" w:type="dxa"/>
              <w:right w:w="28" w:type="dxa"/>
            </w:tcMar>
            <w:vAlign w:val="center"/>
          </w:tcPr>
          <w:p w:rsidR="00B0633D" w:rsidRPr="00E304E4" w:rsidRDefault="00B0633D" w:rsidP="00C65143">
            <w:pPr>
              <w:jc w:val="center"/>
              <w:rPr>
                <w:rFonts w:ascii="Arial Narrow" w:hAnsi="Arial Narrow"/>
                <w:b/>
                <w:bCs/>
                <w:color w:val="FFFFFF"/>
                <w:sz w:val="16"/>
                <w:szCs w:val="16"/>
              </w:rPr>
            </w:pPr>
          </w:p>
        </w:tc>
      </w:tr>
      <w:tr w:rsidR="00B0633D" w:rsidRPr="0015043C" w:rsidTr="00C65143">
        <w:trPr>
          <w:trHeight w:val="170"/>
          <w:jc w:val="center"/>
        </w:trPr>
        <w:tc>
          <w:tcPr>
            <w:tcW w:w="4608"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bottom"/>
          </w:tcPr>
          <w:p w:rsidR="00B0633D" w:rsidRPr="0015043C" w:rsidRDefault="00B0633D" w:rsidP="00C65143">
            <w:pPr>
              <w:jc w:val="right"/>
              <w:rPr>
                <w:rFonts w:ascii="Arial Narrow" w:hAnsi="Arial Narrow"/>
                <w:b/>
                <w:bCs/>
                <w:sz w:val="16"/>
                <w:szCs w:val="16"/>
              </w:rPr>
            </w:pPr>
            <w:r w:rsidRPr="0015043C">
              <w:rPr>
                <w:rFonts w:ascii="Arial Narrow" w:hAnsi="Arial Narrow"/>
                <w:b/>
                <w:bCs/>
                <w:sz w:val="16"/>
                <w:szCs w:val="16"/>
              </w:rPr>
              <w:t> </w:t>
            </w:r>
          </w:p>
          <w:p w:rsidR="00B0633D" w:rsidRPr="0015043C" w:rsidRDefault="00B0633D" w:rsidP="00C65143">
            <w:pPr>
              <w:rPr>
                <w:rFonts w:ascii="Arial Narrow" w:hAnsi="Arial Narrow"/>
                <w:b/>
                <w:bCs/>
                <w:sz w:val="16"/>
                <w:szCs w:val="16"/>
              </w:rPr>
            </w:pPr>
            <w:r w:rsidRPr="0015043C">
              <w:rPr>
                <w:rFonts w:ascii="Arial Narrow" w:hAnsi="Arial Narrow"/>
                <w:b/>
                <w:bCs/>
                <w:sz w:val="16"/>
                <w:szCs w:val="16"/>
              </w:rPr>
              <w:t> </w:t>
            </w:r>
          </w:p>
          <w:p w:rsidR="00B0633D" w:rsidRPr="0015043C" w:rsidRDefault="00B0633D" w:rsidP="00C65143">
            <w:pPr>
              <w:jc w:val="right"/>
              <w:rPr>
                <w:rFonts w:ascii="Arial Narrow" w:hAnsi="Arial Narrow"/>
                <w:b/>
                <w:bCs/>
                <w:sz w:val="16"/>
                <w:szCs w:val="16"/>
              </w:rPr>
            </w:pPr>
            <w:r w:rsidRPr="0015043C">
              <w:rPr>
                <w:rFonts w:ascii="Arial Narrow" w:hAnsi="Arial Narrow"/>
                <w:b/>
                <w:bCs/>
                <w:sz w:val="16"/>
                <w:szCs w:val="16"/>
              </w:rPr>
              <w:t> </w:t>
            </w:r>
          </w:p>
          <w:p w:rsidR="00B0633D" w:rsidRPr="0015043C" w:rsidRDefault="00B0633D" w:rsidP="00C65143">
            <w:pPr>
              <w:rPr>
                <w:rFonts w:ascii="Arial Narrow" w:hAnsi="Arial Narrow"/>
                <w:b/>
                <w:bCs/>
                <w:sz w:val="16"/>
                <w:szCs w:val="16"/>
              </w:rPr>
            </w:pPr>
            <w:r w:rsidRPr="0015043C">
              <w:rPr>
                <w:rFonts w:ascii="Arial Narrow" w:hAnsi="Arial Narrow"/>
                <w:b/>
                <w:bCs/>
                <w:sz w:val="16"/>
                <w:szCs w:val="16"/>
              </w:rPr>
              <w:t> </w:t>
            </w: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B0633D" w:rsidRPr="0015043C" w:rsidRDefault="00B0633D" w:rsidP="00C65143">
            <w:pPr>
              <w:jc w:val="center"/>
              <w:rPr>
                <w:rFonts w:ascii="Arial Narrow" w:hAnsi="Arial Narrow"/>
                <w:b/>
                <w:bCs/>
                <w:sz w:val="16"/>
                <w:szCs w:val="16"/>
              </w:rPr>
            </w:pPr>
            <w:r>
              <w:rPr>
                <w:rFonts w:ascii="Arial Narrow" w:hAnsi="Arial Narrow"/>
                <w:b/>
                <w:bCs/>
                <w:sz w:val="16"/>
                <w:szCs w:val="16"/>
              </w:rPr>
              <w:t>2019</w:t>
            </w:r>
            <w:r w:rsidRPr="0015043C">
              <w:rPr>
                <w:rFonts w:ascii="Arial Narrow" w:hAnsi="Arial Narrow"/>
                <w:b/>
                <w:bCs/>
                <w:sz w:val="16"/>
                <w:szCs w:val="16"/>
              </w:rPr>
              <w:t>*</w:t>
            </w:r>
          </w:p>
        </w:tc>
        <w:tc>
          <w:tcPr>
            <w:tcW w:w="138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0633D" w:rsidRPr="0015043C" w:rsidRDefault="00B0633D" w:rsidP="00C65143">
            <w:pPr>
              <w:jc w:val="center"/>
              <w:rPr>
                <w:rFonts w:ascii="Arial Narrow" w:hAnsi="Arial Narrow"/>
                <w:b/>
                <w:bCs/>
                <w:sz w:val="16"/>
                <w:szCs w:val="16"/>
              </w:rPr>
            </w:pPr>
            <w:r>
              <w:rPr>
                <w:rFonts w:ascii="Arial Narrow" w:hAnsi="Arial Narrow"/>
                <w:b/>
                <w:bCs/>
                <w:sz w:val="16"/>
                <w:szCs w:val="16"/>
              </w:rPr>
              <w:t>2020</w:t>
            </w:r>
            <w:r w:rsidRPr="0015043C">
              <w:rPr>
                <w:rFonts w:ascii="Arial Narrow" w:hAnsi="Arial Narrow"/>
                <w:b/>
                <w:bCs/>
                <w:sz w:val="16"/>
                <w:szCs w:val="16"/>
              </w:rPr>
              <w:t>**</w:t>
            </w:r>
          </w:p>
        </w:tc>
        <w:tc>
          <w:tcPr>
            <w:tcW w:w="876" w:type="dxa"/>
            <w:tcBorders>
              <w:top w:val="single" w:sz="4" w:space="0" w:color="auto"/>
              <w:left w:val="nil"/>
              <w:bottom w:val="single" w:sz="4" w:space="0" w:color="auto"/>
              <w:right w:val="single" w:sz="4" w:space="0" w:color="auto"/>
            </w:tcBorders>
            <w:shd w:val="clear" w:color="auto" w:fill="auto"/>
            <w:vAlign w:val="center"/>
          </w:tcPr>
          <w:p w:rsidR="00B0633D" w:rsidRPr="0015043C" w:rsidRDefault="00B0633D" w:rsidP="00C65143">
            <w:pPr>
              <w:jc w:val="center"/>
              <w:rPr>
                <w:rFonts w:ascii="Arial Narrow" w:hAnsi="Arial Narrow"/>
                <w:b/>
                <w:bCs/>
                <w:sz w:val="16"/>
                <w:szCs w:val="16"/>
              </w:rPr>
            </w:pPr>
            <w:r w:rsidRPr="0015043C">
              <w:rPr>
                <w:rFonts w:ascii="Arial Narrow" w:hAnsi="Arial Narrow"/>
                <w:b/>
                <w:bCs/>
                <w:sz w:val="16"/>
                <w:szCs w:val="16"/>
              </w:rPr>
              <w:t>Διαφορά</w:t>
            </w:r>
          </w:p>
          <w:p w:rsidR="00B0633D" w:rsidRPr="0015043C" w:rsidRDefault="00B0633D" w:rsidP="00C65143">
            <w:pPr>
              <w:jc w:val="center"/>
              <w:rPr>
                <w:rFonts w:ascii="Arial Narrow" w:hAnsi="Arial Narrow"/>
                <w:b/>
                <w:bCs/>
                <w:sz w:val="16"/>
                <w:szCs w:val="16"/>
              </w:rPr>
            </w:pPr>
            <w:r w:rsidRPr="0015043C">
              <w:rPr>
                <w:rFonts w:ascii="Arial Narrow" w:hAnsi="Arial Narrow"/>
                <w:b/>
                <w:bCs/>
                <w:sz w:val="16"/>
                <w:szCs w:val="16"/>
              </w:rPr>
              <w:t>20</w:t>
            </w:r>
            <w:r>
              <w:rPr>
                <w:rFonts w:ascii="Arial Narrow" w:hAnsi="Arial Narrow"/>
                <w:b/>
                <w:bCs/>
                <w:sz w:val="16"/>
                <w:szCs w:val="16"/>
              </w:rPr>
              <w:t>20</w:t>
            </w:r>
            <w:r w:rsidRPr="0015043C">
              <w:rPr>
                <w:rFonts w:ascii="Arial Narrow" w:hAnsi="Arial Narrow"/>
                <w:b/>
                <w:bCs/>
                <w:sz w:val="16"/>
                <w:szCs w:val="16"/>
              </w:rPr>
              <w:t>-201</w:t>
            </w:r>
            <w:r>
              <w:rPr>
                <w:rFonts w:ascii="Arial Narrow" w:hAnsi="Arial Narrow"/>
                <w:b/>
                <w:bCs/>
                <w:sz w:val="16"/>
                <w:szCs w:val="16"/>
              </w:rPr>
              <w:t>9</w:t>
            </w:r>
          </w:p>
        </w:tc>
      </w:tr>
      <w:tr w:rsidR="00B0633D" w:rsidRPr="0015043C" w:rsidTr="00C65143">
        <w:trPr>
          <w:trHeight w:val="170"/>
          <w:jc w:val="center"/>
        </w:trPr>
        <w:tc>
          <w:tcPr>
            <w:tcW w:w="4608" w:type="dxa"/>
            <w:vMerge/>
            <w:tcBorders>
              <w:left w:val="single" w:sz="4" w:space="0" w:color="auto"/>
              <w:bottom w:val="single" w:sz="4" w:space="0" w:color="auto"/>
              <w:right w:val="single" w:sz="4" w:space="0" w:color="auto"/>
            </w:tcBorders>
            <w:shd w:val="clear" w:color="auto" w:fill="auto"/>
            <w:noWrap/>
            <w:tcMar>
              <w:left w:w="28" w:type="dxa"/>
              <w:right w:w="28" w:type="dxa"/>
            </w:tcMar>
            <w:vAlign w:val="bottom"/>
          </w:tcPr>
          <w:p w:rsidR="00B0633D" w:rsidRPr="0015043C" w:rsidRDefault="00B0633D" w:rsidP="00C65143">
            <w:pPr>
              <w:rPr>
                <w:rFonts w:ascii="Arial Narrow" w:hAnsi="Arial Narrow"/>
                <w:b/>
                <w:bCs/>
                <w:sz w:val="16"/>
                <w:szCs w:val="16"/>
              </w:rPr>
            </w:pPr>
          </w:p>
        </w:tc>
        <w:tc>
          <w:tcPr>
            <w:tcW w:w="15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B0633D" w:rsidRPr="002524BC" w:rsidRDefault="00B0633D" w:rsidP="00C65143">
            <w:pPr>
              <w:jc w:val="center"/>
              <w:rPr>
                <w:rFonts w:ascii="Arial Narrow" w:hAnsi="Arial Narrow"/>
                <w:b/>
                <w:sz w:val="16"/>
                <w:szCs w:val="16"/>
              </w:rPr>
            </w:pPr>
            <w:r w:rsidRPr="002524BC">
              <w:rPr>
                <w:rFonts w:ascii="Arial Narrow" w:hAnsi="Arial Narrow"/>
                <w:b/>
                <w:sz w:val="16"/>
                <w:szCs w:val="16"/>
              </w:rPr>
              <w:t>(1)</w:t>
            </w:r>
          </w:p>
        </w:tc>
        <w:tc>
          <w:tcPr>
            <w:tcW w:w="1389" w:type="dxa"/>
            <w:tcBorders>
              <w:top w:val="nil"/>
              <w:left w:val="nil"/>
              <w:bottom w:val="single" w:sz="4" w:space="0" w:color="auto"/>
              <w:right w:val="single" w:sz="4" w:space="0" w:color="auto"/>
            </w:tcBorders>
            <w:shd w:val="clear" w:color="auto" w:fill="auto"/>
            <w:tcMar>
              <w:left w:w="28" w:type="dxa"/>
              <w:right w:w="28" w:type="dxa"/>
            </w:tcMar>
            <w:vAlign w:val="center"/>
          </w:tcPr>
          <w:p w:rsidR="00B0633D" w:rsidRPr="002524BC" w:rsidRDefault="00B0633D" w:rsidP="00C65143">
            <w:pPr>
              <w:jc w:val="center"/>
              <w:rPr>
                <w:rFonts w:ascii="Arial Narrow" w:hAnsi="Arial Narrow"/>
                <w:b/>
                <w:sz w:val="16"/>
                <w:szCs w:val="16"/>
              </w:rPr>
            </w:pPr>
            <w:r w:rsidRPr="002524BC">
              <w:rPr>
                <w:rFonts w:ascii="Arial Narrow" w:hAnsi="Arial Narrow"/>
                <w:b/>
                <w:sz w:val="16"/>
                <w:szCs w:val="16"/>
              </w:rPr>
              <w:t>(2)</w:t>
            </w:r>
          </w:p>
        </w:tc>
        <w:tc>
          <w:tcPr>
            <w:tcW w:w="876" w:type="dxa"/>
            <w:tcBorders>
              <w:top w:val="nil"/>
              <w:left w:val="nil"/>
              <w:bottom w:val="single" w:sz="4" w:space="0" w:color="auto"/>
              <w:right w:val="single" w:sz="4" w:space="0" w:color="auto"/>
            </w:tcBorders>
            <w:shd w:val="clear" w:color="auto" w:fill="auto"/>
            <w:vAlign w:val="center"/>
          </w:tcPr>
          <w:p w:rsidR="00B0633D" w:rsidRPr="002524BC" w:rsidRDefault="00B0633D" w:rsidP="00C65143">
            <w:pPr>
              <w:jc w:val="center"/>
              <w:rPr>
                <w:rFonts w:ascii="Arial Narrow" w:hAnsi="Arial Narrow"/>
                <w:b/>
                <w:sz w:val="16"/>
                <w:szCs w:val="16"/>
              </w:rPr>
            </w:pPr>
            <w:r w:rsidRPr="002524BC">
              <w:rPr>
                <w:rFonts w:ascii="Arial Narrow" w:hAnsi="Arial Narrow"/>
                <w:b/>
                <w:sz w:val="16"/>
                <w:szCs w:val="16"/>
              </w:rPr>
              <w:t>(3)=(2)-(1)</w:t>
            </w:r>
          </w:p>
        </w:tc>
      </w:tr>
      <w:tr w:rsidR="004445BC" w:rsidRPr="0015043C" w:rsidTr="00C65143">
        <w:trPr>
          <w:trHeight w:val="170"/>
          <w:jc w:val="center"/>
        </w:trPr>
        <w:tc>
          <w:tcPr>
            <w:tcW w:w="4608" w:type="dxa"/>
            <w:tcBorders>
              <w:top w:val="single" w:sz="4" w:space="0" w:color="auto"/>
              <w:left w:val="single" w:sz="4" w:space="0" w:color="auto"/>
            </w:tcBorders>
            <w:shd w:val="clear" w:color="auto" w:fill="auto"/>
            <w:tcMar>
              <w:left w:w="28" w:type="dxa"/>
              <w:right w:w="28" w:type="dxa"/>
            </w:tcMar>
            <w:vAlign w:val="center"/>
          </w:tcPr>
          <w:p w:rsidR="004445BC" w:rsidRDefault="004445BC" w:rsidP="00C65143">
            <w:pPr>
              <w:spacing w:before="20" w:after="20"/>
              <w:rPr>
                <w:rFonts w:ascii="Arial Narrow" w:hAnsi="Arial Narrow" w:cs="Arial"/>
                <w:sz w:val="16"/>
                <w:szCs w:val="16"/>
              </w:rPr>
            </w:pPr>
            <w:r>
              <w:rPr>
                <w:rFonts w:ascii="Arial Narrow" w:hAnsi="Arial Narrow" w:cs="Arial"/>
                <w:sz w:val="16"/>
                <w:szCs w:val="16"/>
              </w:rPr>
              <w:t>Ταμειακό αποτέλεσμα Γενικής Κυβέρνησης</w:t>
            </w:r>
          </w:p>
        </w:tc>
        <w:tc>
          <w:tcPr>
            <w:tcW w:w="1559" w:type="dxa"/>
            <w:tcBorders>
              <w:top w:val="single" w:sz="4" w:space="0" w:color="auto"/>
            </w:tcBorders>
            <w:shd w:val="clear" w:color="auto" w:fill="auto"/>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-2.516</w:t>
            </w:r>
          </w:p>
        </w:tc>
        <w:tc>
          <w:tcPr>
            <w:tcW w:w="1389" w:type="dxa"/>
            <w:tcBorders>
              <w:top w:val="single" w:sz="4" w:space="0" w:color="auto"/>
            </w:tcBorders>
            <w:shd w:val="clear" w:color="auto" w:fill="auto"/>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-1.519</w:t>
            </w:r>
          </w:p>
        </w:tc>
        <w:tc>
          <w:tcPr>
            <w:tcW w:w="876" w:type="dxa"/>
            <w:tcBorders>
              <w:top w:val="single" w:sz="4" w:space="0" w:color="auto"/>
              <w:right w:val="single" w:sz="4" w:space="0" w:color="auto"/>
            </w:tcBorders>
            <w:shd w:val="clear" w:color="auto" w:fill="auto"/>
            <w:vAlign w:val="center"/>
          </w:tcPr>
          <w:p w:rsidR="004445BC" w:rsidRDefault="004445BC" w:rsidP="004445BC">
            <w:pPr>
              <w:ind w:right="170"/>
              <w:jc w:val="right"/>
              <w:rPr>
                <w:rFonts w:ascii="Arial Narrow" w:hAnsi="Arial Narrow" w:cs="Arial"/>
                <w:sz w:val="16"/>
                <w:szCs w:val="16"/>
              </w:rPr>
            </w:pPr>
            <w:r>
              <w:rPr>
                <w:rFonts w:ascii="Arial Narrow" w:hAnsi="Arial Narrow" w:cs="Arial"/>
                <w:sz w:val="16"/>
                <w:szCs w:val="16"/>
              </w:rPr>
              <w:t>997</w:t>
            </w:r>
          </w:p>
        </w:tc>
      </w:tr>
      <w:tr w:rsidR="004445BC" w:rsidRPr="0015043C" w:rsidTr="00C65143">
        <w:trPr>
          <w:trHeight w:val="170"/>
          <w:jc w:val="center"/>
        </w:trPr>
        <w:tc>
          <w:tcPr>
            <w:tcW w:w="4608" w:type="dxa"/>
            <w:tcBorders>
              <w:left w:val="single" w:sz="4" w:space="0" w:color="auto"/>
            </w:tcBorders>
            <w:shd w:val="clear" w:color="auto" w:fill="auto"/>
            <w:tcMar>
              <w:left w:w="28" w:type="dxa"/>
              <w:right w:w="28" w:type="dxa"/>
            </w:tcMar>
            <w:vAlign w:val="center"/>
          </w:tcPr>
          <w:p w:rsidR="004445BC" w:rsidRDefault="004445BC" w:rsidP="00C65143">
            <w:pPr>
              <w:tabs>
                <w:tab w:val="left" w:pos="218"/>
              </w:tabs>
              <w:spacing w:before="20" w:after="20"/>
              <w:rPr>
                <w:rFonts w:ascii="Arial Narrow" w:hAnsi="Arial Narrow" w:cs="Arial"/>
                <w:i/>
                <w:iCs/>
                <w:sz w:val="16"/>
                <w:szCs w:val="16"/>
              </w:rPr>
            </w:pPr>
            <w:r>
              <w:rPr>
                <w:rFonts w:ascii="Arial Narrow" w:hAnsi="Arial Narrow" w:cs="Arial"/>
                <w:i/>
                <w:iCs/>
                <w:sz w:val="16"/>
                <w:szCs w:val="16"/>
              </w:rPr>
              <w:tab/>
              <w:t>Αποτέλεσμα Γενικής Κυβέρνησης κατά ESA</w:t>
            </w:r>
          </w:p>
        </w:tc>
        <w:tc>
          <w:tcPr>
            <w:tcW w:w="1559" w:type="dxa"/>
            <w:shd w:val="clear" w:color="auto" w:fill="auto"/>
            <w:tcMar>
              <w:left w:w="28" w:type="dxa"/>
              <w:right w:w="28" w:type="dxa"/>
            </w:tcMar>
            <w:vAlign w:val="center"/>
          </w:tcPr>
          <w:p w:rsidR="004445BC" w:rsidRDefault="004445BC" w:rsidP="004445BC">
            <w:pPr>
              <w:ind w:right="505"/>
              <w:jc w:val="right"/>
              <w:rPr>
                <w:rFonts w:ascii="Arial Narrow" w:hAnsi="Arial Narrow" w:cs="Arial"/>
                <w:i/>
                <w:iCs/>
                <w:sz w:val="16"/>
                <w:szCs w:val="16"/>
              </w:rPr>
            </w:pPr>
            <w:r>
              <w:rPr>
                <w:rFonts w:ascii="Arial Narrow" w:hAnsi="Arial Narrow" w:cs="Arial"/>
                <w:i/>
                <w:iCs/>
                <w:sz w:val="16"/>
                <w:szCs w:val="16"/>
              </w:rPr>
              <w:t>-2.217</w:t>
            </w:r>
          </w:p>
        </w:tc>
        <w:tc>
          <w:tcPr>
            <w:tcW w:w="1389" w:type="dxa"/>
            <w:shd w:val="clear" w:color="auto" w:fill="auto"/>
            <w:tcMar>
              <w:left w:w="28" w:type="dxa"/>
              <w:right w:w="28" w:type="dxa"/>
            </w:tcMar>
            <w:vAlign w:val="center"/>
          </w:tcPr>
          <w:p w:rsidR="004445BC" w:rsidRDefault="004445BC" w:rsidP="004445BC">
            <w:pPr>
              <w:ind w:right="505"/>
              <w:jc w:val="right"/>
              <w:rPr>
                <w:rFonts w:ascii="Arial Narrow" w:hAnsi="Arial Narrow" w:cs="Arial"/>
                <w:i/>
                <w:iCs/>
                <w:sz w:val="16"/>
                <w:szCs w:val="16"/>
              </w:rPr>
            </w:pPr>
            <w:r>
              <w:rPr>
                <w:rFonts w:ascii="Arial Narrow" w:hAnsi="Arial Narrow" w:cs="Arial"/>
                <w:i/>
                <w:iCs/>
                <w:sz w:val="16"/>
                <w:szCs w:val="16"/>
              </w:rPr>
              <w:t>-2.308</w:t>
            </w:r>
          </w:p>
        </w:tc>
        <w:tc>
          <w:tcPr>
            <w:tcW w:w="876" w:type="dxa"/>
            <w:tcBorders>
              <w:right w:val="single" w:sz="4" w:space="0" w:color="auto"/>
            </w:tcBorders>
            <w:shd w:val="clear" w:color="auto" w:fill="auto"/>
            <w:vAlign w:val="center"/>
          </w:tcPr>
          <w:p w:rsidR="004445BC" w:rsidRDefault="004445BC" w:rsidP="004445BC">
            <w:pPr>
              <w:ind w:right="170"/>
              <w:jc w:val="right"/>
              <w:rPr>
                <w:rFonts w:ascii="Arial Narrow" w:hAnsi="Arial Narrow" w:cs="Arial"/>
                <w:i/>
                <w:iCs/>
                <w:sz w:val="16"/>
                <w:szCs w:val="16"/>
              </w:rPr>
            </w:pPr>
            <w:r>
              <w:rPr>
                <w:rFonts w:ascii="Arial Narrow" w:hAnsi="Arial Narrow" w:cs="Arial"/>
                <w:i/>
                <w:iCs/>
                <w:sz w:val="16"/>
                <w:szCs w:val="16"/>
              </w:rPr>
              <w:t>-91</w:t>
            </w:r>
          </w:p>
        </w:tc>
      </w:tr>
      <w:tr w:rsidR="004445BC" w:rsidRPr="0015043C" w:rsidTr="00C65143">
        <w:trPr>
          <w:trHeight w:val="170"/>
          <w:jc w:val="center"/>
        </w:trPr>
        <w:tc>
          <w:tcPr>
            <w:tcW w:w="4608" w:type="dxa"/>
            <w:tcBorders>
              <w:left w:val="single" w:sz="4" w:space="0" w:color="auto"/>
            </w:tcBorders>
            <w:shd w:val="clear" w:color="auto" w:fill="auto"/>
            <w:tcMar>
              <w:left w:w="28" w:type="dxa"/>
              <w:right w:w="28" w:type="dxa"/>
            </w:tcMar>
            <w:vAlign w:val="center"/>
          </w:tcPr>
          <w:p w:rsidR="004445BC" w:rsidRDefault="004445BC" w:rsidP="00C65143">
            <w:pPr>
              <w:tabs>
                <w:tab w:val="left" w:pos="218"/>
              </w:tabs>
              <w:spacing w:before="20" w:after="20"/>
              <w:rPr>
                <w:rFonts w:ascii="Arial Narrow" w:hAnsi="Arial Narrow" w:cs="Arial"/>
                <w:i/>
                <w:iCs/>
                <w:sz w:val="16"/>
                <w:szCs w:val="16"/>
              </w:rPr>
            </w:pPr>
            <w:r>
              <w:rPr>
                <w:rFonts w:ascii="Arial Narrow" w:hAnsi="Arial Narrow" w:cs="Arial"/>
                <w:i/>
                <w:iCs/>
                <w:sz w:val="16"/>
                <w:szCs w:val="16"/>
              </w:rPr>
              <w:tab/>
              <w:t>Εθνικολογιστικές προσαρμογές Γενικής Κυβέρνησης</w:t>
            </w:r>
          </w:p>
        </w:tc>
        <w:tc>
          <w:tcPr>
            <w:tcW w:w="1559" w:type="dxa"/>
            <w:shd w:val="clear" w:color="auto" w:fill="auto"/>
            <w:tcMar>
              <w:left w:w="28" w:type="dxa"/>
              <w:right w:w="28" w:type="dxa"/>
            </w:tcMar>
            <w:vAlign w:val="center"/>
          </w:tcPr>
          <w:p w:rsidR="004445BC" w:rsidRDefault="004445BC" w:rsidP="004445BC">
            <w:pPr>
              <w:ind w:right="505"/>
              <w:jc w:val="right"/>
              <w:rPr>
                <w:rFonts w:ascii="Arial Narrow" w:hAnsi="Arial Narrow" w:cs="Arial"/>
                <w:i/>
                <w:iCs/>
                <w:sz w:val="16"/>
                <w:szCs w:val="16"/>
              </w:rPr>
            </w:pPr>
            <w:r>
              <w:rPr>
                <w:rFonts w:ascii="Arial Narrow" w:hAnsi="Arial Narrow" w:cs="Arial"/>
                <w:i/>
                <w:iCs/>
                <w:sz w:val="16"/>
                <w:szCs w:val="16"/>
              </w:rPr>
              <w:t>-299</w:t>
            </w:r>
          </w:p>
        </w:tc>
        <w:tc>
          <w:tcPr>
            <w:tcW w:w="1389" w:type="dxa"/>
            <w:shd w:val="clear" w:color="auto" w:fill="auto"/>
            <w:tcMar>
              <w:left w:w="28" w:type="dxa"/>
              <w:right w:w="28" w:type="dxa"/>
            </w:tcMar>
            <w:vAlign w:val="center"/>
          </w:tcPr>
          <w:p w:rsidR="004445BC" w:rsidRDefault="004445BC" w:rsidP="004445BC">
            <w:pPr>
              <w:ind w:right="505"/>
              <w:jc w:val="right"/>
              <w:rPr>
                <w:rFonts w:ascii="Arial Narrow" w:hAnsi="Arial Narrow" w:cs="Arial"/>
                <w:i/>
                <w:iCs/>
                <w:sz w:val="16"/>
                <w:szCs w:val="16"/>
              </w:rPr>
            </w:pPr>
            <w:r>
              <w:rPr>
                <w:rFonts w:ascii="Arial Narrow" w:hAnsi="Arial Narrow" w:cs="Arial"/>
                <w:i/>
                <w:iCs/>
                <w:sz w:val="16"/>
                <w:szCs w:val="16"/>
              </w:rPr>
              <w:t>789</w:t>
            </w:r>
          </w:p>
        </w:tc>
        <w:tc>
          <w:tcPr>
            <w:tcW w:w="876" w:type="dxa"/>
            <w:tcBorders>
              <w:right w:val="single" w:sz="4" w:space="0" w:color="auto"/>
            </w:tcBorders>
            <w:shd w:val="clear" w:color="auto" w:fill="auto"/>
            <w:vAlign w:val="center"/>
          </w:tcPr>
          <w:p w:rsidR="004445BC" w:rsidRDefault="004445BC" w:rsidP="004445BC">
            <w:pPr>
              <w:ind w:right="170"/>
              <w:jc w:val="right"/>
              <w:rPr>
                <w:rFonts w:ascii="Arial Narrow" w:hAnsi="Arial Narrow" w:cs="Arial"/>
                <w:i/>
                <w:iCs/>
                <w:sz w:val="16"/>
                <w:szCs w:val="16"/>
              </w:rPr>
            </w:pPr>
            <w:r>
              <w:rPr>
                <w:rFonts w:ascii="Arial Narrow" w:hAnsi="Arial Narrow" w:cs="Arial"/>
                <w:i/>
                <w:iCs/>
                <w:sz w:val="16"/>
                <w:szCs w:val="16"/>
              </w:rPr>
              <w:t>1.088</w:t>
            </w:r>
          </w:p>
        </w:tc>
      </w:tr>
      <w:tr w:rsidR="004445BC" w:rsidRPr="0015043C" w:rsidTr="00C65143">
        <w:trPr>
          <w:trHeight w:val="170"/>
          <w:jc w:val="center"/>
        </w:trPr>
        <w:tc>
          <w:tcPr>
            <w:tcW w:w="4608" w:type="dxa"/>
            <w:tcBorders>
              <w:left w:val="single" w:sz="4" w:space="0" w:color="auto"/>
            </w:tcBorders>
            <w:shd w:val="clear" w:color="auto" w:fill="auto"/>
            <w:tcMar>
              <w:left w:w="28" w:type="dxa"/>
              <w:right w:w="28" w:type="dxa"/>
            </w:tcMar>
            <w:vAlign w:val="bottom"/>
          </w:tcPr>
          <w:p w:rsidR="004445BC" w:rsidRPr="004445BC" w:rsidRDefault="004445BC" w:rsidP="00C65143">
            <w:pPr>
              <w:spacing w:before="20" w:after="20"/>
              <w:rPr>
                <w:rFonts w:ascii="Arial Narrow" w:hAnsi="Arial Narrow" w:cs="Arial"/>
                <w:sz w:val="16"/>
                <w:szCs w:val="16"/>
              </w:rPr>
            </w:pPr>
            <w:r>
              <w:rPr>
                <w:rFonts w:ascii="Arial Narrow" w:hAnsi="Arial Narrow" w:cs="Arial"/>
                <w:sz w:val="16"/>
                <w:szCs w:val="16"/>
              </w:rPr>
              <w:t>Χρηματοοικονομικά παράγωγα</w:t>
            </w:r>
          </w:p>
        </w:tc>
        <w:tc>
          <w:tcPr>
            <w:tcW w:w="1559" w:type="dxa"/>
            <w:shd w:val="clear" w:color="auto" w:fill="auto"/>
            <w:noWrap/>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728</w:t>
            </w:r>
          </w:p>
        </w:tc>
        <w:tc>
          <w:tcPr>
            <w:tcW w:w="1389" w:type="dxa"/>
            <w:shd w:val="clear" w:color="auto" w:fill="auto"/>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1.650</w:t>
            </w:r>
          </w:p>
        </w:tc>
        <w:tc>
          <w:tcPr>
            <w:tcW w:w="876" w:type="dxa"/>
            <w:tcBorders>
              <w:right w:val="single" w:sz="4" w:space="0" w:color="auto"/>
            </w:tcBorders>
            <w:shd w:val="clear" w:color="auto" w:fill="auto"/>
            <w:vAlign w:val="center"/>
          </w:tcPr>
          <w:p w:rsidR="004445BC" w:rsidRDefault="004445BC" w:rsidP="004445BC">
            <w:pPr>
              <w:ind w:right="170"/>
              <w:jc w:val="right"/>
              <w:rPr>
                <w:rFonts w:ascii="Arial Narrow" w:hAnsi="Arial Narrow" w:cs="Arial"/>
                <w:sz w:val="16"/>
                <w:szCs w:val="16"/>
              </w:rPr>
            </w:pPr>
            <w:r>
              <w:rPr>
                <w:rFonts w:ascii="Arial Narrow" w:hAnsi="Arial Narrow" w:cs="Arial"/>
                <w:sz w:val="16"/>
                <w:szCs w:val="16"/>
              </w:rPr>
              <w:t>922</w:t>
            </w:r>
          </w:p>
        </w:tc>
      </w:tr>
      <w:tr w:rsidR="004445BC" w:rsidRPr="0015043C" w:rsidTr="00C65143">
        <w:trPr>
          <w:trHeight w:val="170"/>
          <w:jc w:val="center"/>
        </w:trPr>
        <w:tc>
          <w:tcPr>
            <w:tcW w:w="4608" w:type="dxa"/>
            <w:tcBorders>
              <w:left w:val="single" w:sz="4" w:space="0" w:color="auto"/>
            </w:tcBorders>
            <w:shd w:val="clear" w:color="auto" w:fill="auto"/>
            <w:tcMar>
              <w:left w:w="28" w:type="dxa"/>
              <w:right w:w="28" w:type="dxa"/>
            </w:tcMar>
            <w:vAlign w:val="bottom"/>
          </w:tcPr>
          <w:p w:rsidR="004445BC" w:rsidRDefault="004445BC" w:rsidP="00C65143">
            <w:pPr>
              <w:spacing w:before="20" w:after="20"/>
              <w:rPr>
                <w:rFonts w:ascii="Arial Narrow" w:hAnsi="Arial Narrow" w:cs="Arial"/>
                <w:sz w:val="16"/>
                <w:szCs w:val="16"/>
              </w:rPr>
            </w:pPr>
            <w:r>
              <w:rPr>
                <w:rFonts w:ascii="Arial Narrow" w:hAnsi="Arial Narrow" w:cs="Arial"/>
                <w:sz w:val="16"/>
                <w:szCs w:val="16"/>
              </w:rPr>
              <w:t>Αυξήσεις ΜΚ εταιρειών, συμμετοχή στην ΕΤΕπ, κ.λπ.</w:t>
            </w:r>
          </w:p>
        </w:tc>
        <w:tc>
          <w:tcPr>
            <w:tcW w:w="1559" w:type="dxa"/>
            <w:shd w:val="clear" w:color="auto" w:fill="auto"/>
            <w:noWrap/>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365</w:t>
            </w:r>
          </w:p>
        </w:tc>
        <w:tc>
          <w:tcPr>
            <w:tcW w:w="1389" w:type="dxa"/>
            <w:shd w:val="clear" w:color="auto" w:fill="auto"/>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563</w:t>
            </w:r>
          </w:p>
        </w:tc>
        <w:tc>
          <w:tcPr>
            <w:tcW w:w="876" w:type="dxa"/>
            <w:tcBorders>
              <w:right w:val="single" w:sz="4" w:space="0" w:color="auto"/>
            </w:tcBorders>
            <w:shd w:val="clear" w:color="auto" w:fill="auto"/>
            <w:vAlign w:val="center"/>
          </w:tcPr>
          <w:p w:rsidR="004445BC" w:rsidRDefault="004445BC" w:rsidP="004445BC">
            <w:pPr>
              <w:ind w:right="170"/>
              <w:jc w:val="right"/>
              <w:rPr>
                <w:rFonts w:ascii="Arial Narrow" w:hAnsi="Arial Narrow" w:cs="Arial"/>
                <w:sz w:val="16"/>
                <w:szCs w:val="16"/>
              </w:rPr>
            </w:pPr>
            <w:r>
              <w:rPr>
                <w:rFonts w:ascii="Arial Narrow" w:hAnsi="Arial Narrow" w:cs="Arial"/>
                <w:sz w:val="16"/>
                <w:szCs w:val="16"/>
              </w:rPr>
              <w:t>198</w:t>
            </w:r>
          </w:p>
        </w:tc>
      </w:tr>
      <w:tr w:rsidR="004445BC" w:rsidRPr="0015043C" w:rsidTr="00C65143">
        <w:trPr>
          <w:trHeight w:val="170"/>
          <w:jc w:val="center"/>
        </w:trPr>
        <w:tc>
          <w:tcPr>
            <w:tcW w:w="4608" w:type="dxa"/>
            <w:tcBorders>
              <w:left w:val="single" w:sz="4" w:space="0" w:color="auto"/>
            </w:tcBorders>
            <w:shd w:val="clear" w:color="auto" w:fill="auto"/>
            <w:tcMar>
              <w:left w:w="28" w:type="dxa"/>
              <w:right w:w="28" w:type="dxa"/>
            </w:tcMar>
            <w:vAlign w:val="bottom"/>
          </w:tcPr>
          <w:p w:rsidR="004445BC" w:rsidRDefault="004445BC" w:rsidP="00C65143">
            <w:pPr>
              <w:spacing w:before="20" w:after="20"/>
              <w:rPr>
                <w:rFonts w:ascii="Arial Narrow" w:hAnsi="Arial Narrow" w:cs="Arial"/>
                <w:sz w:val="16"/>
                <w:szCs w:val="16"/>
              </w:rPr>
            </w:pPr>
            <w:r>
              <w:rPr>
                <w:rFonts w:ascii="Arial Narrow" w:hAnsi="Arial Narrow" w:cs="Arial"/>
                <w:sz w:val="16"/>
                <w:szCs w:val="16"/>
              </w:rPr>
              <w:t>Μεταβολή διαθεσίμων</w:t>
            </w:r>
          </w:p>
        </w:tc>
        <w:tc>
          <w:tcPr>
            <w:tcW w:w="1559" w:type="dxa"/>
            <w:shd w:val="clear" w:color="auto" w:fill="auto"/>
            <w:noWrap/>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-3.700</w:t>
            </w:r>
          </w:p>
        </w:tc>
        <w:tc>
          <w:tcPr>
            <w:tcW w:w="1389" w:type="dxa"/>
            <w:shd w:val="clear" w:color="auto" w:fill="auto"/>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2.100</w:t>
            </w:r>
          </w:p>
        </w:tc>
        <w:tc>
          <w:tcPr>
            <w:tcW w:w="876" w:type="dxa"/>
            <w:tcBorders>
              <w:right w:val="single" w:sz="4" w:space="0" w:color="auto"/>
            </w:tcBorders>
            <w:shd w:val="clear" w:color="auto" w:fill="auto"/>
            <w:vAlign w:val="center"/>
          </w:tcPr>
          <w:p w:rsidR="004445BC" w:rsidRDefault="004445BC" w:rsidP="004445BC">
            <w:pPr>
              <w:ind w:right="170"/>
              <w:jc w:val="right"/>
              <w:rPr>
                <w:rFonts w:ascii="Arial Narrow" w:hAnsi="Arial Narrow" w:cs="Arial"/>
                <w:sz w:val="16"/>
                <w:szCs w:val="16"/>
              </w:rPr>
            </w:pPr>
            <w:r>
              <w:rPr>
                <w:rFonts w:ascii="Arial Narrow" w:hAnsi="Arial Narrow" w:cs="Arial"/>
                <w:sz w:val="16"/>
                <w:szCs w:val="16"/>
              </w:rPr>
              <w:t>5.800</w:t>
            </w:r>
          </w:p>
        </w:tc>
      </w:tr>
      <w:tr w:rsidR="004445BC" w:rsidRPr="0015043C" w:rsidTr="00C65143">
        <w:trPr>
          <w:trHeight w:val="170"/>
          <w:jc w:val="center"/>
        </w:trPr>
        <w:tc>
          <w:tcPr>
            <w:tcW w:w="4608" w:type="dxa"/>
            <w:tcBorders>
              <w:left w:val="single" w:sz="4" w:space="0" w:color="auto"/>
            </w:tcBorders>
            <w:shd w:val="clear" w:color="auto" w:fill="auto"/>
            <w:tcMar>
              <w:left w:w="28" w:type="dxa"/>
              <w:right w:w="28" w:type="dxa"/>
            </w:tcMar>
            <w:vAlign w:val="center"/>
          </w:tcPr>
          <w:p w:rsidR="004445BC" w:rsidRDefault="004445BC" w:rsidP="00C65143">
            <w:pPr>
              <w:spacing w:before="20" w:after="20"/>
              <w:rPr>
                <w:rFonts w:ascii="Arial Narrow" w:hAnsi="Arial Narrow" w:cs="Arial"/>
                <w:sz w:val="16"/>
                <w:szCs w:val="16"/>
              </w:rPr>
            </w:pPr>
            <w:r>
              <w:rPr>
                <w:rFonts w:ascii="Arial Narrow" w:hAnsi="Arial Narrow" w:cs="Arial"/>
                <w:sz w:val="16"/>
                <w:szCs w:val="16"/>
              </w:rPr>
              <w:t>Πώληση μετοχών κ.λπ.</w:t>
            </w:r>
          </w:p>
        </w:tc>
        <w:tc>
          <w:tcPr>
            <w:tcW w:w="1559" w:type="dxa"/>
            <w:shd w:val="clear" w:color="auto" w:fill="auto"/>
            <w:noWrap/>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-71</w:t>
            </w:r>
          </w:p>
        </w:tc>
        <w:tc>
          <w:tcPr>
            <w:tcW w:w="1389" w:type="dxa"/>
            <w:shd w:val="clear" w:color="auto" w:fill="auto"/>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-2.081</w:t>
            </w:r>
          </w:p>
        </w:tc>
        <w:tc>
          <w:tcPr>
            <w:tcW w:w="876" w:type="dxa"/>
            <w:tcBorders>
              <w:right w:val="single" w:sz="4" w:space="0" w:color="auto"/>
            </w:tcBorders>
            <w:shd w:val="clear" w:color="auto" w:fill="auto"/>
            <w:vAlign w:val="center"/>
          </w:tcPr>
          <w:p w:rsidR="004445BC" w:rsidRDefault="004445BC" w:rsidP="004445BC">
            <w:pPr>
              <w:ind w:right="170"/>
              <w:jc w:val="right"/>
              <w:rPr>
                <w:rFonts w:ascii="Arial Narrow" w:hAnsi="Arial Narrow" w:cs="Arial"/>
                <w:sz w:val="16"/>
                <w:szCs w:val="16"/>
              </w:rPr>
            </w:pPr>
            <w:r>
              <w:rPr>
                <w:rFonts w:ascii="Arial Narrow" w:hAnsi="Arial Narrow" w:cs="Arial"/>
                <w:sz w:val="16"/>
                <w:szCs w:val="16"/>
              </w:rPr>
              <w:t>-2.010</w:t>
            </w:r>
          </w:p>
        </w:tc>
      </w:tr>
      <w:tr w:rsidR="004445BC" w:rsidRPr="0015043C" w:rsidTr="00C65143">
        <w:trPr>
          <w:trHeight w:val="170"/>
          <w:jc w:val="center"/>
        </w:trPr>
        <w:tc>
          <w:tcPr>
            <w:tcW w:w="4608" w:type="dxa"/>
            <w:tcBorders>
              <w:left w:val="single" w:sz="4" w:space="0" w:color="auto"/>
            </w:tcBorders>
            <w:shd w:val="clear" w:color="auto" w:fill="auto"/>
            <w:tcMar>
              <w:left w:w="28" w:type="dxa"/>
              <w:right w:w="28" w:type="dxa"/>
            </w:tcMar>
            <w:vAlign w:val="center"/>
          </w:tcPr>
          <w:p w:rsidR="004445BC" w:rsidRDefault="004445BC" w:rsidP="00C65143">
            <w:pPr>
              <w:spacing w:before="20" w:after="20"/>
              <w:rPr>
                <w:rFonts w:ascii="Arial Narrow" w:hAnsi="Arial Narrow" w:cs="Arial"/>
                <w:sz w:val="16"/>
                <w:szCs w:val="16"/>
              </w:rPr>
            </w:pPr>
            <w:r>
              <w:rPr>
                <w:rFonts w:ascii="Arial Narrow" w:hAnsi="Arial Narrow" w:cs="Arial"/>
                <w:sz w:val="16"/>
                <w:szCs w:val="16"/>
              </w:rPr>
              <w:t>Έσοδα από επενδύσεις σε τίτλους φορέων Γενικής Κυβέρνησης</w:t>
            </w:r>
          </w:p>
        </w:tc>
        <w:tc>
          <w:tcPr>
            <w:tcW w:w="1559" w:type="dxa"/>
            <w:shd w:val="clear" w:color="auto" w:fill="auto"/>
            <w:noWrap/>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-286</w:t>
            </w:r>
          </w:p>
        </w:tc>
        <w:tc>
          <w:tcPr>
            <w:tcW w:w="1389" w:type="dxa"/>
            <w:shd w:val="clear" w:color="auto" w:fill="auto"/>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-551</w:t>
            </w:r>
          </w:p>
        </w:tc>
        <w:tc>
          <w:tcPr>
            <w:tcW w:w="876" w:type="dxa"/>
            <w:tcBorders>
              <w:right w:val="single" w:sz="4" w:space="0" w:color="auto"/>
            </w:tcBorders>
            <w:shd w:val="clear" w:color="auto" w:fill="auto"/>
            <w:vAlign w:val="center"/>
          </w:tcPr>
          <w:p w:rsidR="004445BC" w:rsidRDefault="004445BC" w:rsidP="004445BC">
            <w:pPr>
              <w:ind w:right="170"/>
              <w:jc w:val="right"/>
              <w:rPr>
                <w:rFonts w:ascii="Arial Narrow" w:hAnsi="Arial Narrow" w:cs="Arial"/>
                <w:sz w:val="16"/>
                <w:szCs w:val="16"/>
              </w:rPr>
            </w:pPr>
            <w:r>
              <w:rPr>
                <w:rFonts w:ascii="Arial Narrow" w:hAnsi="Arial Narrow" w:cs="Arial"/>
                <w:sz w:val="16"/>
                <w:szCs w:val="16"/>
              </w:rPr>
              <w:t>-265</w:t>
            </w:r>
          </w:p>
        </w:tc>
      </w:tr>
      <w:tr w:rsidR="004445BC" w:rsidRPr="0015043C" w:rsidTr="00C65143">
        <w:trPr>
          <w:trHeight w:val="170"/>
          <w:jc w:val="center"/>
        </w:trPr>
        <w:tc>
          <w:tcPr>
            <w:tcW w:w="4608" w:type="dxa"/>
            <w:tcBorders>
              <w:left w:val="single" w:sz="4" w:space="0" w:color="auto"/>
            </w:tcBorders>
            <w:shd w:val="clear" w:color="auto" w:fill="auto"/>
            <w:tcMar>
              <w:left w:w="28" w:type="dxa"/>
              <w:right w:w="28" w:type="dxa"/>
            </w:tcMar>
            <w:vAlign w:val="center"/>
          </w:tcPr>
          <w:p w:rsidR="004445BC" w:rsidRDefault="004445BC" w:rsidP="00C65143">
            <w:pPr>
              <w:spacing w:before="20" w:after="20"/>
              <w:rPr>
                <w:rFonts w:ascii="Arial Narrow" w:hAnsi="Arial Narrow" w:cs="Arial"/>
                <w:sz w:val="16"/>
                <w:szCs w:val="16"/>
              </w:rPr>
            </w:pPr>
            <w:r>
              <w:rPr>
                <w:rFonts w:ascii="Arial Narrow" w:hAnsi="Arial Narrow" w:cs="Arial"/>
                <w:sz w:val="16"/>
                <w:szCs w:val="16"/>
              </w:rPr>
              <w:t>Προσαρμογές στο άρτιο, λοιπές προσαρμογές</w:t>
            </w:r>
          </w:p>
        </w:tc>
        <w:tc>
          <w:tcPr>
            <w:tcW w:w="1559" w:type="dxa"/>
            <w:shd w:val="clear" w:color="auto" w:fill="auto"/>
            <w:noWrap/>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59</w:t>
            </w:r>
          </w:p>
        </w:tc>
        <w:tc>
          <w:tcPr>
            <w:tcW w:w="1389" w:type="dxa"/>
            <w:shd w:val="clear" w:color="auto" w:fill="auto"/>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38</w:t>
            </w:r>
          </w:p>
        </w:tc>
        <w:tc>
          <w:tcPr>
            <w:tcW w:w="876" w:type="dxa"/>
            <w:tcBorders>
              <w:right w:val="single" w:sz="4" w:space="0" w:color="auto"/>
            </w:tcBorders>
            <w:shd w:val="clear" w:color="auto" w:fill="auto"/>
            <w:vAlign w:val="center"/>
          </w:tcPr>
          <w:p w:rsidR="004445BC" w:rsidRDefault="004445BC" w:rsidP="004445BC">
            <w:pPr>
              <w:ind w:right="170"/>
              <w:jc w:val="right"/>
              <w:rPr>
                <w:rFonts w:ascii="Arial Narrow" w:hAnsi="Arial Narrow" w:cs="Arial"/>
                <w:sz w:val="16"/>
                <w:szCs w:val="16"/>
              </w:rPr>
            </w:pPr>
            <w:r>
              <w:rPr>
                <w:rFonts w:ascii="Arial Narrow" w:hAnsi="Arial Narrow" w:cs="Arial"/>
                <w:sz w:val="16"/>
                <w:szCs w:val="16"/>
              </w:rPr>
              <w:t>-21</w:t>
            </w:r>
          </w:p>
        </w:tc>
      </w:tr>
      <w:tr w:rsidR="004445BC" w:rsidRPr="0015043C" w:rsidTr="00C65143">
        <w:trPr>
          <w:trHeight w:val="170"/>
          <w:jc w:val="center"/>
        </w:trPr>
        <w:tc>
          <w:tcPr>
            <w:tcW w:w="4608" w:type="dxa"/>
            <w:tcBorders>
              <w:left w:val="single" w:sz="4" w:space="0" w:color="auto"/>
            </w:tcBorders>
            <w:shd w:val="clear" w:color="auto" w:fill="auto"/>
            <w:tcMar>
              <w:left w:w="28" w:type="dxa"/>
              <w:right w:w="28" w:type="dxa"/>
            </w:tcMar>
            <w:vAlign w:val="center"/>
          </w:tcPr>
          <w:p w:rsidR="004445BC" w:rsidRDefault="004445BC" w:rsidP="00C65143">
            <w:pPr>
              <w:spacing w:before="20" w:after="20"/>
              <w:rPr>
                <w:rFonts w:ascii="Arial Narrow" w:hAnsi="Arial Narrow" w:cs="Arial"/>
                <w:b/>
                <w:bCs/>
                <w:sz w:val="16"/>
                <w:szCs w:val="16"/>
              </w:rPr>
            </w:pPr>
            <w:r>
              <w:rPr>
                <w:rFonts w:ascii="Arial Narrow" w:hAnsi="Arial Narrow" w:cs="Arial"/>
                <w:b/>
                <w:bCs/>
                <w:sz w:val="16"/>
                <w:szCs w:val="16"/>
              </w:rPr>
              <w:t>Μεταβολή από προηγούμενο έτος</w:t>
            </w:r>
          </w:p>
        </w:tc>
        <w:tc>
          <w:tcPr>
            <w:tcW w:w="1559" w:type="dxa"/>
            <w:shd w:val="clear" w:color="auto" w:fill="auto"/>
            <w:noWrap/>
            <w:tcMar>
              <w:left w:w="28" w:type="dxa"/>
              <w:right w:w="28" w:type="dxa"/>
            </w:tcMar>
            <w:vAlign w:val="center"/>
          </w:tcPr>
          <w:p w:rsidR="004445BC" w:rsidRDefault="004445BC" w:rsidP="004445BC">
            <w:pPr>
              <w:ind w:right="505"/>
              <w:jc w:val="right"/>
              <w:rPr>
                <w:rFonts w:ascii="Arial Narrow" w:hAnsi="Arial Narrow" w:cs="Arial"/>
                <w:b/>
                <w:bCs/>
                <w:sz w:val="16"/>
                <w:szCs w:val="16"/>
              </w:rPr>
            </w:pPr>
            <w:r>
              <w:rPr>
                <w:rFonts w:ascii="Arial Narrow" w:hAnsi="Arial Narrow" w:cs="Arial"/>
                <w:b/>
                <w:bCs/>
                <w:sz w:val="16"/>
                <w:szCs w:val="16"/>
              </w:rPr>
              <w:t>-5.421</w:t>
            </w:r>
          </w:p>
        </w:tc>
        <w:tc>
          <w:tcPr>
            <w:tcW w:w="1389" w:type="dxa"/>
            <w:shd w:val="clear" w:color="auto" w:fill="auto"/>
            <w:tcMar>
              <w:left w:w="28" w:type="dxa"/>
              <w:right w:w="28" w:type="dxa"/>
            </w:tcMar>
            <w:vAlign w:val="center"/>
          </w:tcPr>
          <w:p w:rsidR="004445BC" w:rsidRDefault="004445BC" w:rsidP="004445BC">
            <w:pPr>
              <w:ind w:right="505"/>
              <w:jc w:val="right"/>
              <w:rPr>
                <w:rFonts w:ascii="Arial Narrow" w:hAnsi="Arial Narrow" w:cs="Arial"/>
                <w:b/>
                <w:bCs/>
                <w:sz w:val="16"/>
                <w:szCs w:val="16"/>
              </w:rPr>
            </w:pPr>
            <w:r>
              <w:rPr>
                <w:rFonts w:ascii="Arial Narrow" w:hAnsi="Arial Narrow" w:cs="Arial"/>
                <w:b/>
                <w:bCs/>
                <w:sz w:val="16"/>
                <w:szCs w:val="16"/>
              </w:rPr>
              <w:t>200</w:t>
            </w:r>
          </w:p>
        </w:tc>
        <w:tc>
          <w:tcPr>
            <w:tcW w:w="876" w:type="dxa"/>
            <w:tcBorders>
              <w:right w:val="single" w:sz="4" w:space="0" w:color="auto"/>
            </w:tcBorders>
            <w:shd w:val="clear" w:color="auto" w:fill="auto"/>
            <w:vAlign w:val="center"/>
          </w:tcPr>
          <w:p w:rsidR="004445BC" w:rsidRDefault="004445BC" w:rsidP="004445BC">
            <w:pPr>
              <w:ind w:right="170"/>
              <w:jc w:val="right"/>
              <w:rPr>
                <w:rFonts w:ascii="Arial Narrow" w:hAnsi="Arial Narrow" w:cs="Arial"/>
                <w:b/>
                <w:bCs/>
                <w:sz w:val="16"/>
                <w:szCs w:val="16"/>
              </w:rPr>
            </w:pPr>
            <w:r>
              <w:rPr>
                <w:rFonts w:ascii="Arial Narrow" w:hAnsi="Arial Narrow" w:cs="Arial"/>
                <w:b/>
                <w:bCs/>
                <w:sz w:val="16"/>
                <w:szCs w:val="16"/>
              </w:rPr>
              <w:t>5.621</w:t>
            </w:r>
          </w:p>
        </w:tc>
      </w:tr>
      <w:tr w:rsidR="004445BC" w:rsidRPr="0015043C" w:rsidTr="004B1E21">
        <w:trPr>
          <w:trHeight w:val="170"/>
          <w:jc w:val="center"/>
        </w:trPr>
        <w:tc>
          <w:tcPr>
            <w:tcW w:w="4608" w:type="dxa"/>
            <w:tcBorders>
              <w:left w:val="single" w:sz="4" w:space="0" w:color="auto"/>
            </w:tcBorders>
            <w:shd w:val="clear" w:color="auto" w:fill="auto"/>
            <w:tcMar>
              <w:left w:w="28" w:type="dxa"/>
              <w:right w:w="28" w:type="dxa"/>
            </w:tcMar>
            <w:vAlign w:val="center"/>
          </w:tcPr>
          <w:p w:rsidR="004445BC" w:rsidRDefault="004445BC" w:rsidP="00C65143">
            <w:pPr>
              <w:spacing w:before="20" w:after="20"/>
              <w:rPr>
                <w:rFonts w:ascii="Arial Narrow" w:hAnsi="Arial Narrow" w:cs="Arial"/>
                <w:b/>
                <w:bCs/>
                <w:sz w:val="16"/>
                <w:szCs w:val="16"/>
              </w:rPr>
            </w:pPr>
          </w:p>
        </w:tc>
        <w:tc>
          <w:tcPr>
            <w:tcW w:w="1559" w:type="dxa"/>
            <w:shd w:val="clear" w:color="auto" w:fill="auto"/>
            <w:noWrap/>
            <w:tcMar>
              <w:left w:w="28" w:type="dxa"/>
              <w:right w:w="28" w:type="dxa"/>
            </w:tcMar>
            <w:vAlign w:val="bottom"/>
          </w:tcPr>
          <w:p w:rsidR="004445BC" w:rsidRDefault="004445BC" w:rsidP="004445BC">
            <w:pPr>
              <w:ind w:right="505"/>
              <w:rPr>
                <w:rFonts w:ascii="Arial Narrow" w:hAnsi="Arial Narrow" w:cs="Arial"/>
                <w:sz w:val="16"/>
                <w:szCs w:val="16"/>
              </w:rPr>
            </w:pPr>
            <w:r>
              <w:rPr>
                <w:rFonts w:ascii="Arial Narrow" w:hAnsi="Arial Narrow" w:cs="Arial"/>
                <w:sz w:val="16"/>
                <w:szCs w:val="16"/>
              </w:rPr>
              <w:t> </w:t>
            </w:r>
          </w:p>
        </w:tc>
        <w:tc>
          <w:tcPr>
            <w:tcW w:w="1389" w:type="dxa"/>
            <w:shd w:val="clear" w:color="auto" w:fill="auto"/>
            <w:tcMar>
              <w:left w:w="28" w:type="dxa"/>
              <w:right w:w="28" w:type="dxa"/>
            </w:tcMar>
            <w:vAlign w:val="bottom"/>
          </w:tcPr>
          <w:p w:rsidR="004445BC" w:rsidRDefault="004445BC" w:rsidP="004445BC">
            <w:pPr>
              <w:ind w:right="505"/>
              <w:rPr>
                <w:rFonts w:ascii="Arial Narrow" w:hAnsi="Arial Narrow" w:cs="Arial"/>
                <w:sz w:val="16"/>
                <w:szCs w:val="16"/>
              </w:rPr>
            </w:pPr>
            <w:r>
              <w:rPr>
                <w:rFonts w:ascii="Arial Narrow" w:hAnsi="Arial Narrow" w:cs="Arial"/>
                <w:sz w:val="16"/>
                <w:szCs w:val="16"/>
              </w:rPr>
              <w:t> </w:t>
            </w:r>
          </w:p>
        </w:tc>
        <w:tc>
          <w:tcPr>
            <w:tcW w:w="876" w:type="dxa"/>
            <w:tcBorders>
              <w:right w:val="single" w:sz="4" w:space="0" w:color="auto"/>
            </w:tcBorders>
            <w:shd w:val="clear" w:color="auto" w:fill="auto"/>
            <w:vAlign w:val="bottom"/>
          </w:tcPr>
          <w:p w:rsidR="004445BC" w:rsidRDefault="004445BC" w:rsidP="004445BC">
            <w:pPr>
              <w:ind w:right="170"/>
              <w:rPr>
                <w:rFonts w:ascii="Arial Narrow" w:hAnsi="Arial Narrow" w:cs="Arial"/>
                <w:sz w:val="16"/>
                <w:szCs w:val="16"/>
              </w:rPr>
            </w:pPr>
            <w:r>
              <w:rPr>
                <w:rFonts w:ascii="Arial Narrow" w:hAnsi="Arial Narrow" w:cs="Arial"/>
                <w:sz w:val="16"/>
                <w:szCs w:val="16"/>
              </w:rPr>
              <w:t> </w:t>
            </w:r>
          </w:p>
        </w:tc>
      </w:tr>
      <w:tr w:rsidR="004445BC" w:rsidRPr="0015043C" w:rsidTr="00C65143">
        <w:trPr>
          <w:trHeight w:val="170"/>
          <w:jc w:val="center"/>
        </w:trPr>
        <w:tc>
          <w:tcPr>
            <w:tcW w:w="4608" w:type="dxa"/>
            <w:tcBorders>
              <w:left w:val="single" w:sz="4" w:space="0" w:color="auto"/>
            </w:tcBorders>
            <w:shd w:val="clear" w:color="auto" w:fill="D9D9D9" w:themeFill="background1" w:themeFillShade="D9"/>
            <w:noWrap/>
            <w:tcMar>
              <w:left w:w="28" w:type="dxa"/>
              <w:right w:w="28" w:type="dxa"/>
            </w:tcMar>
            <w:vAlign w:val="bottom"/>
          </w:tcPr>
          <w:p w:rsidR="004445BC" w:rsidRDefault="004445BC" w:rsidP="00C65143">
            <w:pPr>
              <w:spacing w:before="20" w:after="20"/>
              <w:rPr>
                <w:rFonts w:ascii="Arial Narrow" w:hAnsi="Arial Narrow" w:cs="Arial"/>
                <w:b/>
                <w:bCs/>
                <w:sz w:val="16"/>
                <w:szCs w:val="16"/>
              </w:rPr>
            </w:pPr>
            <w:r>
              <w:rPr>
                <w:rFonts w:ascii="Arial Narrow" w:hAnsi="Arial Narrow" w:cs="Arial"/>
                <w:b/>
                <w:bCs/>
                <w:sz w:val="16"/>
                <w:szCs w:val="16"/>
              </w:rPr>
              <w:t xml:space="preserve">Χρέος Γενικής Κυβέρνησης </w:t>
            </w:r>
          </w:p>
        </w:tc>
        <w:tc>
          <w:tcPr>
            <w:tcW w:w="1559" w:type="dxa"/>
            <w:shd w:val="clear" w:color="auto" w:fill="D9D9D9" w:themeFill="background1" w:themeFillShade="D9"/>
            <w:tcMar>
              <w:left w:w="28" w:type="dxa"/>
              <w:right w:w="28" w:type="dxa"/>
            </w:tcMar>
            <w:vAlign w:val="bottom"/>
          </w:tcPr>
          <w:p w:rsidR="004445BC" w:rsidRDefault="004445BC" w:rsidP="004445BC">
            <w:pPr>
              <w:ind w:right="505"/>
              <w:jc w:val="right"/>
              <w:rPr>
                <w:rFonts w:ascii="Arial Narrow" w:hAnsi="Arial Narrow" w:cs="Arial"/>
                <w:b/>
                <w:bCs/>
                <w:sz w:val="16"/>
                <w:szCs w:val="16"/>
              </w:rPr>
            </w:pPr>
            <w:r>
              <w:rPr>
                <w:rFonts w:ascii="Arial Narrow" w:hAnsi="Arial Narrow" w:cs="Arial"/>
                <w:b/>
                <w:bCs/>
                <w:sz w:val="16"/>
                <w:szCs w:val="16"/>
              </w:rPr>
              <w:t>329.300</w:t>
            </w:r>
          </w:p>
        </w:tc>
        <w:tc>
          <w:tcPr>
            <w:tcW w:w="1389" w:type="dxa"/>
            <w:shd w:val="clear" w:color="auto" w:fill="D9D9D9" w:themeFill="background1" w:themeFillShade="D9"/>
            <w:noWrap/>
            <w:tcMar>
              <w:left w:w="28" w:type="dxa"/>
              <w:right w:w="28" w:type="dxa"/>
            </w:tcMar>
            <w:vAlign w:val="bottom"/>
          </w:tcPr>
          <w:p w:rsidR="004445BC" w:rsidRDefault="004445BC" w:rsidP="004445BC">
            <w:pPr>
              <w:ind w:right="505"/>
              <w:jc w:val="right"/>
              <w:rPr>
                <w:rFonts w:ascii="Arial Narrow" w:hAnsi="Arial Narrow" w:cs="Arial"/>
                <w:b/>
                <w:bCs/>
                <w:sz w:val="16"/>
                <w:szCs w:val="16"/>
              </w:rPr>
            </w:pPr>
            <w:r>
              <w:rPr>
                <w:rFonts w:ascii="Arial Narrow" w:hAnsi="Arial Narrow" w:cs="Arial"/>
                <w:b/>
                <w:bCs/>
                <w:sz w:val="16"/>
                <w:szCs w:val="16"/>
              </w:rPr>
              <w:t>329.500</w:t>
            </w:r>
          </w:p>
        </w:tc>
        <w:tc>
          <w:tcPr>
            <w:tcW w:w="876" w:type="dxa"/>
            <w:tcBorders>
              <w:right w:val="single" w:sz="4" w:space="0" w:color="auto"/>
            </w:tcBorders>
            <w:shd w:val="clear" w:color="auto" w:fill="D9D9D9" w:themeFill="background1" w:themeFillShade="D9"/>
            <w:vAlign w:val="bottom"/>
          </w:tcPr>
          <w:p w:rsidR="004445BC" w:rsidRDefault="004445BC" w:rsidP="004445BC">
            <w:pPr>
              <w:ind w:right="170"/>
              <w:jc w:val="right"/>
              <w:rPr>
                <w:rFonts w:ascii="Arial Narrow" w:hAnsi="Arial Narrow" w:cs="Arial"/>
                <w:b/>
                <w:bCs/>
                <w:sz w:val="16"/>
                <w:szCs w:val="16"/>
              </w:rPr>
            </w:pPr>
            <w:r>
              <w:rPr>
                <w:rFonts w:ascii="Arial Narrow" w:hAnsi="Arial Narrow" w:cs="Arial"/>
                <w:b/>
                <w:bCs/>
                <w:sz w:val="16"/>
                <w:szCs w:val="16"/>
              </w:rPr>
              <w:t>200</w:t>
            </w:r>
          </w:p>
        </w:tc>
      </w:tr>
      <w:tr w:rsidR="004445BC" w:rsidRPr="0015043C" w:rsidTr="004B1E21">
        <w:trPr>
          <w:trHeight w:val="170"/>
          <w:jc w:val="center"/>
        </w:trPr>
        <w:tc>
          <w:tcPr>
            <w:tcW w:w="4608" w:type="dxa"/>
            <w:tcBorders>
              <w:left w:val="single" w:sz="4" w:space="0" w:color="auto"/>
            </w:tcBorders>
            <w:shd w:val="clear" w:color="auto" w:fill="D9D9D9" w:themeFill="background1" w:themeFillShade="D9"/>
            <w:tcMar>
              <w:left w:w="28" w:type="dxa"/>
              <w:right w:w="28" w:type="dxa"/>
            </w:tcMar>
            <w:vAlign w:val="center"/>
          </w:tcPr>
          <w:p w:rsidR="004445BC" w:rsidRDefault="004445BC" w:rsidP="00C65143">
            <w:pPr>
              <w:spacing w:before="20" w:after="20"/>
              <w:rPr>
                <w:rFonts w:ascii="Arial Narrow" w:hAnsi="Arial Narrow" w:cs="Arial"/>
                <w:b/>
                <w:bCs/>
                <w:sz w:val="16"/>
                <w:szCs w:val="16"/>
              </w:rPr>
            </w:pPr>
            <w:r>
              <w:rPr>
                <w:rFonts w:ascii="Arial Narrow" w:hAnsi="Arial Narrow" w:cs="Arial"/>
                <w:b/>
                <w:bCs/>
                <w:sz w:val="16"/>
                <w:szCs w:val="16"/>
              </w:rPr>
              <w:t xml:space="preserve">Χρέος Γενικής Κυβέρνησης ως % του ΑΕΠ </w:t>
            </w:r>
          </w:p>
        </w:tc>
        <w:tc>
          <w:tcPr>
            <w:tcW w:w="1559" w:type="dxa"/>
            <w:shd w:val="clear" w:color="auto" w:fill="D9D9D9" w:themeFill="background1" w:themeFillShade="D9"/>
            <w:tcMar>
              <w:left w:w="28" w:type="dxa"/>
              <w:right w:w="28" w:type="dxa"/>
            </w:tcMar>
            <w:vAlign w:val="center"/>
          </w:tcPr>
          <w:p w:rsidR="004445BC" w:rsidRDefault="004445BC" w:rsidP="004445BC">
            <w:pPr>
              <w:ind w:right="505"/>
              <w:jc w:val="right"/>
              <w:rPr>
                <w:rFonts w:ascii="Arial Narrow" w:hAnsi="Arial Narrow" w:cs="Arial"/>
                <w:b/>
                <w:bCs/>
                <w:sz w:val="16"/>
                <w:szCs w:val="16"/>
              </w:rPr>
            </w:pPr>
            <w:r>
              <w:rPr>
                <w:rFonts w:ascii="Arial Narrow" w:hAnsi="Arial Narrow" w:cs="Arial"/>
                <w:b/>
                <w:bCs/>
                <w:sz w:val="16"/>
                <w:szCs w:val="16"/>
              </w:rPr>
              <w:t>173,3%</w:t>
            </w:r>
          </w:p>
        </w:tc>
        <w:tc>
          <w:tcPr>
            <w:tcW w:w="1389" w:type="dxa"/>
            <w:shd w:val="clear" w:color="auto" w:fill="D9D9D9" w:themeFill="background1" w:themeFillShade="D9"/>
            <w:tcMar>
              <w:left w:w="28" w:type="dxa"/>
              <w:right w:w="28" w:type="dxa"/>
            </w:tcMar>
            <w:vAlign w:val="center"/>
          </w:tcPr>
          <w:p w:rsidR="004445BC" w:rsidRDefault="004445BC" w:rsidP="004445BC">
            <w:pPr>
              <w:ind w:right="505"/>
              <w:jc w:val="right"/>
              <w:rPr>
                <w:rFonts w:ascii="Arial Narrow" w:hAnsi="Arial Narrow" w:cs="Arial"/>
                <w:b/>
                <w:bCs/>
                <w:sz w:val="16"/>
                <w:szCs w:val="16"/>
              </w:rPr>
            </w:pPr>
            <w:r>
              <w:rPr>
                <w:rFonts w:ascii="Arial Narrow" w:hAnsi="Arial Narrow" w:cs="Arial"/>
                <w:b/>
                <w:bCs/>
                <w:sz w:val="16"/>
                <w:szCs w:val="16"/>
              </w:rPr>
              <w:t>167,0%</w:t>
            </w:r>
          </w:p>
        </w:tc>
        <w:tc>
          <w:tcPr>
            <w:tcW w:w="876" w:type="dxa"/>
            <w:tcBorders>
              <w:right w:val="single" w:sz="4" w:space="0" w:color="auto"/>
            </w:tcBorders>
            <w:shd w:val="clear" w:color="auto" w:fill="D9D9D9" w:themeFill="background1" w:themeFillShade="D9"/>
            <w:vAlign w:val="center"/>
          </w:tcPr>
          <w:p w:rsidR="004445BC" w:rsidRDefault="004445BC" w:rsidP="004445BC">
            <w:pPr>
              <w:ind w:right="170"/>
              <w:jc w:val="right"/>
              <w:rPr>
                <w:rFonts w:ascii="Arial Narrow" w:hAnsi="Arial Narrow" w:cs="Arial"/>
                <w:b/>
                <w:bCs/>
                <w:sz w:val="16"/>
                <w:szCs w:val="16"/>
              </w:rPr>
            </w:pPr>
            <w:r>
              <w:rPr>
                <w:rFonts w:ascii="Arial Narrow" w:hAnsi="Arial Narrow" w:cs="Arial"/>
                <w:b/>
                <w:bCs/>
                <w:sz w:val="16"/>
                <w:szCs w:val="16"/>
              </w:rPr>
              <w:t>-6,3%</w:t>
            </w:r>
          </w:p>
        </w:tc>
      </w:tr>
      <w:tr w:rsidR="004445BC" w:rsidRPr="0015043C" w:rsidTr="004B1E21">
        <w:trPr>
          <w:trHeight w:val="170"/>
          <w:jc w:val="center"/>
        </w:trPr>
        <w:tc>
          <w:tcPr>
            <w:tcW w:w="4608" w:type="dxa"/>
            <w:tcBorders>
              <w:left w:val="single" w:sz="4" w:space="0" w:color="auto"/>
              <w:bottom w:val="single" w:sz="4" w:space="0" w:color="auto"/>
            </w:tcBorders>
            <w:shd w:val="clear" w:color="auto" w:fill="auto"/>
            <w:tcMar>
              <w:left w:w="28" w:type="dxa"/>
              <w:right w:w="28" w:type="dxa"/>
            </w:tcMar>
            <w:vAlign w:val="center"/>
          </w:tcPr>
          <w:p w:rsidR="004445BC" w:rsidRDefault="004445BC" w:rsidP="00C65143">
            <w:pPr>
              <w:spacing w:before="20" w:after="20"/>
              <w:rPr>
                <w:rFonts w:ascii="Arial Narrow" w:hAnsi="Arial Narrow" w:cs="Arial"/>
                <w:sz w:val="16"/>
                <w:szCs w:val="16"/>
              </w:rPr>
            </w:pPr>
            <w:r>
              <w:rPr>
                <w:rFonts w:ascii="Arial Narrow" w:hAnsi="Arial Narrow" w:cs="Arial"/>
                <w:sz w:val="16"/>
                <w:szCs w:val="16"/>
              </w:rPr>
              <w:t>ΑΕΠ</w:t>
            </w:r>
          </w:p>
        </w:tc>
        <w:tc>
          <w:tcPr>
            <w:tcW w:w="1559" w:type="dxa"/>
            <w:tcBorders>
              <w:bottom w:val="single" w:sz="4" w:space="0" w:color="auto"/>
            </w:tcBorders>
            <w:shd w:val="clear" w:color="auto" w:fill="auto"/>
            <w:noWrap/>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190.004</w:t>
            </w:r>
          </w:p>
        </w:tc>
        <w:tc>
          <w:tcPr>
            <w:tcW w:w="1389" w:type="dxa"/>
            <w:tcBorders>
              <w:bottom w:val="single" w:sz="4" w:space="0" w:color="auto"/>
            </w:tcBorders>
            <w:shd w:val="clear" w:color="auto" w:fill="auto"/>
            <w:noWrap/>
            <w:tcMar>
              <w:left w:w="28" w:type="dxa"/>
              <w:right w:w="28" w:type="dxa"/>
            </w:tcMar>
            <w:vAlign w:val="center"/>
          </w:tcPr>
          <w:p w:rsidR="004445BC" w:rsidRDefault="004445BC" w:rsidP="004445BC">
            <w:pPr>
              <w:ind w:right="505"/>
              <w:jc w:val="right"/>
              <w:rPr>
                <w:rFonts w:ascii="Arial Narrow" w:hAnsi="Arial Narrow" w:cs="Arial"/>
                <w:sz w:val="16"/>
                <w:szCs w:val="16"/>
              </w:rPr>
            </w:pPr>
            <w:r>
              <w:rPr>
                <w:rFonts w:ascii="Arial Narrow" w:hAnsi="Arial Narrow" w:cs="Arial"/>
                <w:sz w:val="16"/>
                <w:szCs w:val="16"/>
              </w:rPr>
              <w:t>197.315</w:t>
            </w:r>
          </w:p>
        </w:tc>
        <w:tc>
          <w:tcPr>
            <w:tcW w:w="876" w:type="dxa"/>
            <w:tcBorders>
              <w:bottom w:val="single" w:sz="4" w:space="0" w:color="auto"/>
              <w:right w:val="single" w:sz="4" w:space="0" w:color="auto"/>
            </w:tcBorders>
            <w:shd w:val="clear" w:color="auto" w:fill="auto"/>
            <w:vAlign w:val="center"/>
          </w:tcPr>
          <w:p w:rsidR="004445BC" w:rsidRDefault="004445BC" w:rsidP="004445BC">
            <w:pPr>
              <w:ind w:right="170"/>
              <w:rPr>
                <w:rFonts w:ascii="Arial Narrow" w:hAnsi="Arial Narrow" w:cs="Arial"/>
                <w:sz w:val="16"/>
                <w:szCs w:val="16"/>
              </w:rPr>
            </w:pPr>
            <w:r>
              <w:rPr>
                <w:rFonts w:ascii="Arial Narrow" w:hAnsi="Arial Narrow" w:cs="Arial"/>
                <w:sz w:val="16"/>
                <w:szCs w:val="16"/>
              </w:rPr>
              <w:t> </w:t>
            </w:r>
          </w:p>
        </w:tc>
      </w:tr>
    </w:tbl>
    <w:p w:rsidR="00B0633D" w:rsidRPr="006547D6" w:rsidRDefault="00B0633D" w:rsidP="00B0633D">
      <w:pPr>
        <w:tabs>
          <w:tab w:val="left" w:pos="180"/>
        </w:tabs>
        <w:ind w:firstLine="180"/>
        <w:jc w:val="both"/>
        <w:rPr>
          <w:rFonts w:ascii="Arial Narrow" w:hAnsi="Arial Narrow"/>
          <w:sz w:val="16"/>
          <w:szCs w:val="16"/>
        </w:rPr>
      </w:pPr>
      <w:r>
        <w:rPr>
          <w:rFonts w:ascii="Arial Narrow" w:hAnsi="Arial Narrow"/>
          <w:sz w:val="16"/>
          <w:szCs w:val="16"/>
        </w:rPr>
        <w:t xml:space="preserve">   </w:t>
      </w:r>
      <w:r w:rsidRPr="0015043C">
        <w:rPr>
          <w:rFonts w:ascii="Arial Narrow" w:hAnsi="Arial Narrow"/>
          <w:sz w:val="16"/>
          <w:szCs w:val="16"/>
        </w:rPr>
        <w:t>* Εκτιμήσεις    **Προβλέψεις</w:t>
      </w:r>
    </w:p>
    <w:p w:rsidR="00B0633D" w:rsidRPr="0015043C" w:rsidRDefault="00B0633D" w:rsidP="00B0633D">
      <w:pPr>
        <w:tabs>
          <w:tab w:val="left" w:pos="4608"/>
          <w:tab w:val="left" w:pos="5508"/>
          <w:tab w:val="left" w:pos="6588"/>
        </w:tabs>
        <w:ind w:left="180"/>
        <w:rPr>
          <w:rFonts w:ascii="Arial Narrow" w:hAnsi="Arial Narrow"/>
          <w:sz w:val="16"/>
          <w:szCs w:val="16"/>
        </w:rPr>
      </w:pPr>
      <w:r>
        <w:rPr>
          <w:rFonts w:ascii="Arial Narrow" w:hAnsi="Arial Narrow"/>
          <w:sz w:val="16"/>
          <w:szCs w:val="16"/>
        </w:rPr>
        <w:t xml:space="preserve">    </w:t>
      </w:r>
      <w:r w:rsidRPr="0015043C">
        <w:rPr>
          <w:rFonts w:ascii="Arial Narrow" w:hAnsi="Arial Narrow"/>
          <w:sz w:val="16"/>
          <w:szCs w:val="16"/>
        </w:rPr>
        <w:t xml:space="preserve">Πηγή:  </w:t>
      </w:r>
      <w:r>
        <w:rPr>
          <w:rFonts w:ascii="Arial Narrow" w:hAnsi="Arial Narrow"/>
          <w:sz w:val="16"/>
          <w:szCs w:val="16"/>
        </w:rPr>
        <w:t>ΟΔΔΗΧ</w:t>
      </w:r>
    </w:p>
    <w:p w:rsidR="00B0633D" w:rsidRDefault="00B0633D" w:rsidP="00B0633D">
      <w:pPr>
        <w:autoSpaceDE w:val="0"/>
        <w:autoSpaceDN w:val="0"/>
        <w:adjustRightInd w:val="0"/>
        <w:jc w:val="both"/>
        <w:rPr>
          <w:sz w:val="22"/>
          <w:szCs w:val="22"/>
        </w:rPr>
      </w:pPr>
    </w:p>
    <w:p w:rsidR="00B0633D" w:rsidRDefault="00B0633D" w:rsidP="00B0633D">
      <w:pPr>
        <w:tabs>
          <w:tab w:val="left" w:pos="180"/>
        </w:tabs>
        <w:ind w:left="180"/>
        <w:jc w:val="both"/>
        <w:rPr>
          <w:rFonts w:ascii="Arial Narrow" w:hAnsi="Arial Narrow"/>
          <w:sz w:val="16"/>
          <w:szCs w:val="16"/>
        </w:rPr>
      </w:pPr>
    </w:p>
    <w:p w:rsidR="00482518" w:rsidRPr="0015043C" w:rsidRDefault="00482518" w:rsidP="00B0633D">
      <w:pPr>
        <w:tabs>
          <w:tab w:val="left" w:pos="180"/>
        </w:tabs>
        <w:ind w:left="180"/>
        <w:jc w:val="both"/>
        <w:rPr>
          <w:rFonts w:ascii="Arial Narrow" w:hAnsi="Arial Narrow"/>
          <w:sz w:val="16"/>
          <w:szCs w:val="16"/>
        </w:rPr>
      </w:pPr>
    </w:p>
    <w:p w:rsidR="00482518" w:rsidRPr="0015043C" w:rsidRDefault="00550B4B" w:rsidP="00482518">
      <w:pPr>
        <w:shd w:val="clear" w:color="auto" w:fill="595959" w:themeFill="text1" w:themeFillTint="A6"/>
        <w:jc w:val="both"/>
        <w:rPr>
          <w:rFonts w:ascii="Arial Narrow" w:hAnsi="Arial Narrow"/>
          <w:b/>
          <w:bCs/>
          <w:color w:val="FFFFFF"/>
          <w:sz w:val="26"/>
          <w:szCs w:val="22"/>
        </w:rPr>
      </w:pPr>
      <w:r>
        <w:rPr>
          <w:rFonts w:ascii="Arial Narrow" w:hAnsi="Arial Narrow"/>
          <w:b/>
          <w:bCs/>
          <w:color w:val="FFFFFF"/>
          <w:sz w:val="26"/>
          <w:szCs w:val="22"/>
        </w:rPr>
        <w:t>2</w:t>
      </w:r>
      <w:r w:rsidR="00482518" w:rsidRPr="0015043C">
        <w:rPr>
          <w:rFonts w:ascii="Arial Narrow" w:hAnsi="Arial Narrow"/>
          <w:b/>
          <w:bCs/>
          <w:color w:val="FFFFFF"/>
          <w:sz w:val="26"/>
          <w:szCs w:val="22"/>
        </w:rPr>
        <w:t xml:space="preserve">. </w:t>
      </w:r>
      <w:r w:rsidR="00482518" w:rsidRPr="0015043C">
        <w:rPr>
          <w:rFonts w:ascii="Arial Narrow" w:hAnsi="Arial Narrow"/>
          <w:bCs/>
          <w:color w:val="FFFFFF"/>
          <w:sz w:val="26"/>
          <w:szCs w:val="22"/>
        </w:rPr>
        <w:tab/>
      </w:r>
      <w:r w:rsidR="00482518" w:rsidRPr="0015043C">
        <w:rPr>
          <w:rFonts w:ascii="Arial Narrow" w:hAnsi="Arial Narrow"/>
          <w:b/>
          <w:bCs/>
          <w:color w:val="FFFFFF"/>
          <w:sz w:val="26"/>
          <w:szCs w:val="22"/>
        </w:rPr>
        <w:t>Δομή και χαρακτηριστικά του χρέους Κεντρικής</w:t>
      </w:r>
      <w:r w:rsidR="00482518">
        <w:rPr>
          <w:rFonts w:ascii="Arial Narrow" w:hAnsi="Arial Narrow"/>
          <w:b/>
          <w:bCs/>
          <w:color w:val="FFFFFF"/>
          <w:sz w:val="26"/>
          <w:szCs w:val="22"/>
        </w:rPr>
        <w:t xml:space="preserve"> Διοίκησης</w:t>
      </w:r>
    </w:p>
    <w:p w:rsidR="00482518" w:rsidRDefault="00482518" w:rsidP="00482518">
      <w:pPr>
        <w:jc w:val="both"/>
        <w:rPr>
          <w:sz w:val="22"/>
          <w:szCs w:val="22"/>
        </w:rPr>
      </w:pPr>
    </w:p>
    <w:p w:rsidR="00482518" w:rsidRDefault="00482518" w:rsidP="00482518">
      <w:pPr>
        <w:jc w:val="both"/>
        <w:rPr>
          <w:sz w:val="22"/>
          <w:szCs w:val="22"/>
        </w:rPr>
      </w:pPr>
    </w:p>
    <w:p w:rsidR="00482518" w:rsidRPr="0084443D" w:rsidRDefault="00482518" w:rsidP="00482518">
      <w:pPr>
        <w:jc w:val="both"/>
        <w:rPr>
          <w:sz w:val="22"/>
          <w:szCs w:val="22"/>
        </w:rPr>
      </w:pPr>
      <w:r w:rsidRPr="00350FF1">
        <w:rPr>
          <w:sz w:val="22"/>
          <w:szCs w:val="22"/>
        </w:rPr>
        <w:t>Μετά την ολοκλήρωση της εφαρμογής των βραχυπρόθεσμων και μεσοπρόθεσμων μέτρων ελάφρυ</w:t>
      </w:r>
      <w:r w:rsidRPr="00350FF1">
        <w:rPr>
          <w:sz w:val="22"/>
          <w:szCs w:val="22"/>
        </w:rPr>
        <w:t>ν</w:t>
      </w:r>
      <w:r w:rsidRPr="00350FF1">
        <w:rPr>
          <w:sz w:val="22"/>
          <w:szCs w:val="22"/>
        </w:rPr>
        <w:t xml:space="preserve">σης του χρέους ο χρονικός ορίζοντας των λήξεων του χρέους της Κεντρικής Διοίκησης, στις 30/9/2019, </w:t>
      </w:r>
      <w:r>
        <w:rPr>
          <w:sz w:val="22"/>
          <w:szCs w:val="22"/>
        </w:rPr>
        <w:t>εκτείνεται μέχρι το έτος 2070</w:t>
      </w:r>
      <w:r w:rsidRPr="0084443D">
        <w:rPr>
          <w:sz w:val="22"/>
          <w:szCs w:val="22"/>
        </w:rPr>
        <w:t xml:space="preserve"> (</w:t>
      </w:r>
      <w:r>
        <w:rPr>
          <w:sz w:val="22"/>
          <w:szCs w:val="22"/>
        </w:rPr>
        <w:t xml:space="preserve">πίνακας 4.4, </w:t>
      </w:r>
      <w:r w:rsidRPr="0084443D">
        <w:rPr>
          <w:sz w:val="22"/>
          <w:szCs w:val="22"/>
        </w:rPr>
        <w:t xml:space="preserve">διάγραμμα 4.1). </w:t>
      </w:r>
      <w:r w:rsidRPr="00350FF1">
        <w:rPr>
          <w:sz w:val="22"/>
          <w:szCs w:val="22"/>
        </w:rPr>
        <w:t xml:space="preserve">Η περαιτέρω δανειοδότηση του Ελληνικού Δημοσίου μέσω των αγορών τα επόμενα έτη </w:t>
      </w:r>
      <w:r w:rsidR="00550B4B">
        <w:rPr>
          <w:sz w:val="22"/>
          <w:szCs w:val="22"/>
        </w:rPr>
        <w:t xml:space="preserve">και η πρόωρη αποπληρωμή των δανείων προς το ΔΝΤ </w:t>
      </w:r>
      <w:r w:rsidRPr="00350FF1">
        <w:rPr>
          <w:sz w:val="22"/>
          <w:szCs w:val="22"/>
        </w:rPr>
        <w:t>αναμένεται να αντικαταστήσει σταδιακά τα δάνεια με ομόλογα</w:t>
      </w:r>
      <w:r w:rsidRPr="0084443D">
        <w:rPr>
          <w:sz w:val="22"/>
          <w:szCs w:val="22"/>
        </w:rPr>
        <w:t>.</w:t>
      </w:r>
    </w:p>
    <w:p w:rsidR="00482518" w:rsidRDefault="00482518">
      <w:pPr>
        <w:rPr>
          <w:rFonts w:ascii="Arial Narrow" w:hAnsi="Arial Narrow"/>
          <w:b/>
          <w:color w:val="FFFFFF"/>
          <w:sz w:val="26"/>
          <w:szCs w:val="26"/>
        </w:rPr>
      </w:pPr>
    </w:p>
    <w:p w:rsidR="00482518" w:rsidRDefault="00482518">
      <w:pPr>
        <w:rPr>
          <w:rFonts w:ascii="Arial Narrow" w:hAnsi="Arial Narrow"/>
          <w:b/>
          <w:color w:val="FFFFFF"/>
          <w:sz w:val="26"/>
          <w:szCs w:val="26"/>
        </w:rPr>
      </w:pPr>
      <w:r>
        <w:rPr>
          <w:rFonts w:ascii="Arial Narrow" w:hAnsi="Arial Narrow"/>
          <w:b/>
          <w:color w:val="FFFFFF"/>
          <w:sz w:val="26"/>
          <w:szCs w:val="26"/>
        </w:rPr>
        <w:br w:type="page"/>
      </w:r>
    </w:p>
    <w:p w:rsidR="00482518" w:rsidRDefault="00482518">
      <w:pPr>
        <w:rPr>
          <w:rFonts w:ascii="Arial Narrow" w:hAnsi="Arial Narrow"/>
          <w:b/>
          <w:color w:val="FFFFFF"/>
          <w:sz w:val="26"/>
          <w:szCs w:val="26"/>
        </w:rPr>
      </w:pPr>
      <w:r>
        <w:rPr>
          <w:rFonts w:ascii="Arial Narrow" w:hAnsi="Arial Narrow"/>
          <w:b/>
          <w:color w:val="FFFFFF"/>
          <w:sz w:val="26"/>
          <w:szCs w:val="26"/>
        </w:rPr>
        <w:lastRenderedPageBreak/>
        <w:t>\</w:t>
      </w:r>
    </w:p>
    <w:tbl>
      <w:tblPr>
        <w:tblW w:w="9548" w:type="dxa"/>
        <w:tblInd w:w="101" w:type="dxa"/>
        <w:tblLayout w:type="fixed"/>
        <w:tblCellMar>
          <w:left w:w="28" w:type="dxa"/>
          <w:right w:w="28" w:type="dxa"/>
        </w:tblCellMar>
        <w:tblLook w:val="04A0"/>
      </w:tblPr>
      <w:tblGrid>
        <w:gridCol w:w="636"/>
        <w:gridCol w:w="709"/>
        <w:gridCol w:w="850"/>
        <w:gridCol w:w="709"/>
        <w:gridCol w:w="709"/>
        <w:gridCol w:w="850"/>
        <w:gridCol w:w="851"/>
        <w:gridCol w:w="992"/>
        <w:gridCol w:w="851"/>
        <w:gridCol w:w="708"/>
        <w:gridCol w:w="807"/>
        <w:gridCol w:w="876"/>
      </w:tblGrid>
      <w:tr w:rsidR="00482518" w:rsidRPr="00847FDD" w:rsidTr="00C65143">
        <w:trPr>
          <w:trHeight w:val="227"/>
        </w:trPr>
        <w:tc>
          <w:tcPr>
            <w:tcW w:w="9548" w:type="dxa"/>
            <w:gridSpan w:val="12"/>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rsidR="00482518" w:rsidRPr="00847FDD" w:rsidRDefault="00482518" w:rsidP="00C65143">
            <w:pPr>
              <w:jc w:val="center"/>
              <w:rPr>
                <w:rFonts w:ascii="Arial Narrow" w:hAnsi="Arial Narrow" w:cs="Arial"/>
                <w:b/>
                <w:bCs/>
                <w:color w:val="FFFFFF" w:themeColor="background1"/>
              </w:rPr>
            </w:pPr>
            <w:r w:rsidRPr="00847FDD">
              <w:rPr>
                <w:rFonts w:ascii="Arial Narrow" w:hAnsi="Arial Narrow" w:cs="Arial"/>
                <w:b/>
                <w:bCs/>
                <w:color w:val="FFFFFF" w:themeColor="background1"/>
              </w:rPr>
              <w:t>Πίνακας 4.4 Χρονοδιάγραμμα λήξης χρέους της Κ</w:t>
            </w:r>
            <w:r>
              <w:rPr>
                <w:rFonts w:ascii="Arial Narrow" w:hAnsi="Arial Narrow" w:cs="Arial"/>
                <w:b/>
                <w:bCs/>
                <w:color w:val="FFFFFF" w:themeColor="background1"/>
              </w:rPr>
              <w:t>εντρικής Διοίκησης την 30/9/2019</w:t>
            </w:r>
          </w:p>
          <w:p w:rsidR="00482518" w:rsidRPr="00847FDD" w:rsidRDefault="00482518" w:rsidP="00C65143">
            <w:pPr>
              <w:jc w:val="center"/>
              <w:rPr>
                <w:rFonts w:ascii="Arial Narrow" w:hAnsi="Arial Narrow" w:cs="Arial"/>
                <w:b/>
                <w:bCs/>
                <w:color w:val="FFFFFF" w:themeColor="background1"/>
              </w:rPr>
            </w:pPr>
            <w:r w:rsidRPr="00847FDD">
              <w:rPr>
                <w:rFonts w:ascii="Arial Narrow" w:hAnsi="Arial Narrow" w:cs="Arial"/>
                <w:b/>
                <w:bCs/>
                <w:color w:val="FFFFFF" w:themeColor="background1"/>
              </w:rPr>
              <w:t>(σε εκατ. ευρώ)</w:t>
            </w:r>
          </w:p>
        </w:tc>
      </w:tr>
      <w:tr w:rsidR="00482518" w:rsidRPr="00847FDD" w:rsidTr="00C65143">
        <w:trPr>
          <w:trHeight w:val="227"/>
        </w:trPr>
        <w:tc>
          <w:tcPr>
            <w:tcW w:w="954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82518" w:rsidRDefault="00482518" w:rsidP="00C65143">
            <w:pPr>
              <w:jc w:val="center"/>
              <w:rPr>
                <w:rFonts w:ascii="Arial Narrow" w:hAnsi="Arial Narrow" w:cs="Arial"/>
                <w:b/>
                <w:bCs/>
                <w:sz w:val="16"/>
                <w:szCs w:val="16"/>
              </w:rPr>
            </w:pPr>
          </w:p>
        </w:tc>
      </w:tr>
      <w:tr w:rsidR="00482518" w:rsidRPr="00847FDD" w:rsidTr="00C65143">
        <w:trPr>
          <w:trHeight w:val="881"/>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518" w:rsidRPr="00847FDD" w:rsidRDefault="00482518" w:rsidP="00C65143">
            <w:pPr>
              <w:jc w:val="center"/>
              <w:rPr>
                <w:rFonts w:ascii="Arial Narrow" w:hAnsi="Arial Narrow" w:cs="Arial"/>
                <w:b/>
                <w:bCs/>
                <w:sz w:val="16"/>
                <w:szCs w:val="16"/>
              </w:rPr>
            </w:pPr>
            <w:r>
              <w:rPr>
                <w:rFonts w:ascii="Arial Narrow" w:hAnsi="Arial Narrow" w:cs="Arial"/>
                <w:b/>
                <w:bCs/>
                <w:sz w:val="16"/>
                <w:szCs w:val="16"/>
              </w:rPr>
              <w:t>Έτος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518" w:rsidRDefault="00482518" w:rsidP="00C65143">
            <w:pPr>
              <w:jc w:val="center"/>
              <w:rPr>
                <w:rFonts w:ascii="Arial Narrow" w:hAnsi="Arial Narrow" w:cs="Arial"/>
                <w:b/>
                <w:bCs/>
                <w:sz w:val="16"/>
                <w:szCs w:val="16"/>
              </w:rPr>
            </w:pPr>
            <w:r>
              <w:rPr>
                <w:rFonts w:ascii="Arial Narrow" w:hAnsi="Arial Narrow" w:cs="Arial"/>
                <w:b/>
                <w:bCs/>
                <w:sz w:val="16"/>
                <w:szCs w:val="16"/>
              </w:rPr>
              <w:t>Έντοκα</w:t>
            </w:r>
          </w:p>
          <w:p w:rsidR="00482518" w:rsidRPr="00847FDD" w:rsidRDefault="00482518" w:rsidP="00C65143">
            <w:pPr>
              <w:jc w:val="center"/>
              <w:rPr>
                <w:rFonts w:ascii="Arial Narrow" w:hAnsi="Arial Narrow" w:cs="Arial"/>
                <w:b/>
                <w:bCs/>
                <w:sz w:val="16"/>
                <w:szCs w:val="16"/>
              </w:rPr>
            </w:pPr>
            <w:r>
              <w:rPr>
                <w:rFonts w:ascii="Arial Narrow" w:hAnsi="Arial Narrow" w:cs="Arial"/>
                <w:b/>
                <w:bCs/>
                <w:sz w:val="16"/>
                <w:szCs w:val="16"/>
              </w:rPr>
              <w:t>γραμμάτια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82518" w:rsidRDefault="00482518" w:rsidP="00C65143">
            <w:pPr>
              <w:jc w:val="center"/>
              <w:rPr>
                <w:rFonts w:ascii="Arial Narrow" w:hAnsi="Arial Narrow" w:cs="Arial"/>
                <w:b/>
                <w:bCs/>
                <w:sz w:val="16"/>
                <w:szCs w:val="16"/>
              </w:rPr>
            </w:pPr>
            <w:r w:rsidRPr="00847FDD">
              <w:rPr>
                <w:rFonts w:ascii="Arial Narrow" w:hAnsi="Arial Narrow" w:cs="Arial"/>
                <w:b/>
                <w:bCs/>
                <w:sz w:val="16"/>
                <w:szCs w:val="16"/>
              </w:rPr>
              <w:t>Σ</w:t>
            </w:r>
            <w:r>
              <w:rPr>
                <w:rFonts w:ascii="Arial Narrow" w:hAnsi="Arial Narrow" w:cs="Arial"/>
                <w:b/>
                <w:bCs/>
                <w:sz w:val="16"/>
                <w:szCs w:val="16"/>
              </w:rPr>
              <w:t>υμφωνίες Επαναγ</w:t>
            </w:r>
            <w:r>
              <w:rPr>
                <w:rFonts w:ascii="Arial Narrow" w:hAnsi="Arial Narrow" w:cs="Arial"/>
                <w:b/>
                <w:bCs/>
                <w:sz w:val="16"/>
                <w:szCs w:val="16"/>
              </w:rPr>
              <w:t>ο</w:t>
            </w:r>
            <w:r>
              <w:rPr>
                <w:rFonts w:ascii="Arial Narrow" w:hAnsi="Arial Narrow" w:cs="Arial"/>
                <w:b/>
                <w:bCs/>
                <w:sz w:val="16"/>
                <w:szCs w:val="16"/>
              </w:rPr>
              <w:t>ράς</w:t>
            </w:r>
          </w:p>
          <w:p w:rsidR="00482518" w:rsidRPr="00847FDD" w:rsidRDefault="00482518" w:rsidP="00C65143">
            <w:pPr>
              <w:jc w:val="center"/>
              <w:rPr>
                <w:rFonts w:ascii="Arial Narrow" w:hAnsi="Arial Narrow" w:cs="Arial"/>
                <w:b/>
                <w:bCs/>
                <w:sz w:val="16"/>
                <w:szCs w:val="16"/>
              </w:rPr>
            </w:pPr>
            <w:r>
              <w:rPr>
                <w:rFonts w:ascii="Arial Narrow" w:hAnsi="Arial Narrow" w:cs="Arial"/>
                <w:b/>
                <w:bCs/>
                <w:sz w:val="16"/>
                <w:szCs w:val="16"/>
              </w:rPr>
              <w:t xml:space="preserve"> </w:t>
            </w:r>
            <w:r w:rsidRPr="00847FDD">
              <w:rPr>
                <w:rFonts w:ascii="Arial Narrow" w:hAnsi="Arial Narrow" w:cs="Arial"/>
                <w:b/>
                <w:bCs/>
                <w:sz w:val="16"/>
                <w:szCs w:val="16"/>
              </w:rPr>
              <w:t>(Repos)</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518" w:rsidRPr="00847FDD" w:rsidRDefault="00482518" w:rsidP="00C65143">
            <w:pPr>
              <w:jc w:val="center"/>
              <w:rPr>
                <w:rFonts w:ascii="Arial Narrow" w:hAnsi="Arial Narrow" w:cs="Arial"/>
                <w:b/>
                <w:bCs/>
                <w:sz w:val="16"/>
                <w:szCs w:val="16"/>
              </w:rPr>
            </w:pPr>
            <w:r w:rsidRPr="00847FDD">
              <w:rPr>
                <w:rFonts w:ascii="Arial Narrow" w:hAnsi="Arial Narrow" w:cs="Arial"/>
                <w:b/>
                <w:bCs/>
                <w:sz w:val="16"/>
                <w:szCs w:val="16"/>
              </w:rPr>
              <w:t>Ο</w:t>
            </w:r>
            <w:r>
              <w:rPr>
                <w:rFonts w:ascii="Arial Narrow" w:hAnsi="Arial Narrow" w:cs="Arial"/>
                <w:b/>
                <w:bCs/>
                <w:sz w:val="16"/>
                <w:szCs w:val="16"/>
              </w:rPr>
              <w:t>μόλογα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2518" w:rsidRPr="00847FDD" w:rsidRDefault="00482518" w:rsidP="00C65143">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 xml:space="preserve">άνεια </w:t>
            </w:r>
            <w:r w:rsidRPr="00847FDD">
              <w:rPr>
                <w:rFonts w:ascii="Arial Narrow" w:hAnsi="Arial Narrow" w:cs="Arial"/>
                <w:b/>
                <w:bCs/>
                <w:sz w:val="16"/>
                <w:szCs w:val="16"/>
              </w:rPr>
              <w:t xml:space="preserve"> </w:t>
            </w:r>
            <w:r>
              <w:rPr>
                <w:rFonts w:ascii="Arial Narrow" w:hAnsi="Arial Narrow" w:cs="Arial"/>
                <w:b/>
                <w:bCs/>
                <w:sz w:val="16"/>
                <w:szCs w:val="16"/>
              </w:rPr>
              <w:t>από</w:t>
            </w:r>
            <w:r w:rsidRPr="00847FDD">
              <w:rPr>
                <w:rFonts w:ascii="Arial Narrow" w:hAnsi="Arial Narrow" w:cs="Arial"/>
                <w:b/>
                <w:bCs/>
                <w:sz w:val="16"/>
                <w:szCs w:val="16"/>
              </w:rPr>
              <w:t xml:space="preserve"> ΔΝΤ (</w:t>
            </w:r>
            <w:r>
              <w:rPr>
                <w:rFonts w:ascii="Arial Narrow" w:hAnsi="Arial Narrow" w:cs="Arial"/>
                <w:b/>
                <w:bCs/>
                <w:sz w:val="16"/>
                <w:szCs w:val="16"/>
              </w:rPr>
              <w:t xml:space="preserve">μετά </w:t>
            </w:r>
            <w:r w:rsidRPr="00847FDD">
              <w:rPr>
                <w:rFonts w:ascii="Arial Narrow" w:hAnsi="Arial Narrow" w:cs="Arial"/>
                <w:b/>
                <w:bCs/>
                <w:sz w:val="16"/>
                <w:szCs w:val="16"/>
              </w:rPr>
              <w:t>swap)</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82518" w:rsidRPr="00847FDD" w:rsidRDefault="00482518" w:rsidP="00C65143">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άνεια</w:t>
            </w:r>
            <w:r w:rsidRPr="00847FDD">
              <w:rPr>
                <w:rFonts w:ascii="Arial Narrow" w:hAnsi="Arial Narrow" w:cs="Arial"/>
                <w:b/>
                <w:bCs/>
                <w:sz w:val="16"/>
                <w:szCs w:val="16"/>
              </w:rPr>
              <w:t xml:space="preserve"> </w:t>
            </w:r>
            <w:r>
              <w:rPr>
                <w:rFonts w:ascii="Arial Narrow" w:hAnsi="Arial Narrow" w:cs="Arial"/>
                <w:b/>
                <w:bCs/>
                <w:sz w:val="16"/>
                <w:szCs w:val="16"/>
              </w:rPr>
              <w:t>από χώρες Ε</w:t>
            </w:r>
            <w:r>
              <w:rPr>
                <w:rFonts w:ascii="Arial Narrow" w:hAnsi="Arial Narrow" w:cs="Arial"/>
                <w:b/>
                <w:bCs/>
                <w:sz w:val="16"/>
                <w:szCs w:val="16"/>
              </w:rPr>
              <w:t>υ</w:t>
            </w:r>
            <w:r>
              <w:rPr>
                <w:rFonts w:ascii="Arial Narrow" w:hAnsi="Arial Narrow" w:cs="Arial"/>
                <w:b/>
                <w:bCs/>
                <w:sz w:val="16"/>
                <w:szCs w:val="16"/>
              </w:rPr>
              <w:t xml:space="preserve">ρωπαϊκής Ένωσης </w:t>
            </w:r>
            <w:r w:rsidRPr="00847FDD">
              <w:rPr>
                <w:rFonts w:ascii="Arial Narrow" w:hAnsi="Arial Narrow" w:cs="Arial"/>
                <w:b/>
                <w:bCs/>
                <w:sz w:val="16"/>
                <w:szCs w:val="16"/>
              </w:rPr>
              <w:t>(GLF)</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82518" w:rsidRPr="00847FDD" w:rsidRDefault="00482518" w:rsidP="00C65143">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άνεια από</w:t>
            </w:r>
            <w:r w:rsidRPr="00847FDD">
              <w:rPr>
                <w:rFonts w:ascii="Arial Narrow" w:hAnsi="Arial Narrow" w:cs="Arial"/>
                <w:b/>
                <w:bCs/>
                <w:sz w:val="16"/>
                <w:szCs w:val="16"/>
              </w:rPr>
              <w:t xml:space="preserve"> EFSF &amp; ESM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2518" w:rsidRDefault="00482518" w:rsidP="00C65143">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 xml:space="preserve">άνεια από </w:t>
            </w:r>
            <w:r w:rsidRPr="00847FDD">
              <w:rPr>
                <w:rFonts w:ascii="Arial Narrow" w:hAnsi="Arial Narrow" w:cs="Arial"/>
                <w:b/>
                <w:bCs/>
                <w:sz w:val="16"/>
                <w:szCs w:val="16"/>
              </w:rPr>
              <w:t>Ε</w:t>
            </w:r>
            <w:r>
              <w:rPr>
                <w:rFonts w:ascii="Arial Narrow" w:hAnsi="Arial Narrow" w:cs="Arial"/>
                <w:b/>
                <w:bCs/>
                <w:sz w:val="16"/>
                <w:szCs w:val="16"/>
              </w:rPr>
              <w:t>υρωπαϊκή</w:t>
            </w:r>
            <w:r w:rsidRPr="00847FDD">
              <w:rPr>
                <w:rFonts w:ascii="Arial Narrow" w:hAnsi="Arial Narrow" w:cs="Arial"/>
                <w:b/>
                <w:bCs/>
                <w:sz w:val="16"/>
                <w:szCs w:val="16"/>
              </w:rPr>
              <w:t xml:space="preserve"> Τ</w:t>
            </w:r>
            <w:r>
              <w:rPr>
                <w:rFonts w:ascii="Arial Narrow" w:hAnsi="Arial Narrow" w:cs="Arial"/>
                <w:b/>
                <w:bCs/>
                <w:sz w:val="16"/>
                <w:szCs w:val="16"/>
              </w:rPr>
              <w:t xml:space="preserve">ράπεζα </w:t>
            </w:r>
          </w:p>
          <w:p w:rsidR="00482518" w:rsidRPr="00847FDD" w:rsidRDefault="00482518" w:rsidP="00C65143">
            <w:pPr>
              <w:jc w:val="center"/>
              <w:rPr>
                <w:rFonts w:ascii="Arial Narrow" w:hAnsi="Arial Narrow" w:cs="Arial"/>
                <w:b/>
                <w:bCs/>
                <w:sz w:val="16"/>
                <w:szCs w:val="16"/>
              </w:rPr>
            </w:pPr>
            <w:r w:rsidRPr="00847FDD">
              <w:rPr>
                <w:rFonts w:ascii="Arial Narrow" w:hAnsi="Arial Narrow" w:cs="Arial"/>
                <w:b/>
                <w:bCs/>
                <w:sz w:val="16"/>
                <w:szCs w:val="16"/>
              </w:rPr>
              <w:t>Ε</w:t>
            </w:r>
            <w:r>
              <w:rPr>
                <w:rFonts w:ascii="Arial Narrow" w:hAnsi="Arial Narrow" w:cs="Arial"/>
                <w:b/>
                <w:bCs/>
                <w:sz w:val="16"/>
                <w:szCs w:val="16"/>
              </w:rPr>
              <w:t xml:space="preserve">πενδύσεων </w:t>
            </w:r>
            <w:r w:rsidRPr="00847FDD">
              <w:rPr>
                <w:rFonts w:ascii="Arial Narrow" w:hAnsi="Arial Narrow" w:cs="Arial"/>
                <w:b/>
                <w:bCs/>
                <w:sz w:val="16"/>
                <w:szCs w:val="16"/>
              </w:rPr>
              <w:t>(EIB)</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82518" w:rsidRPr="00847FDD" w:rsidRDefault="00482518" w:rsidP="00C65143">
            <w:pPr>
              <w:jc w:val="center"/>
              <w:rPr>
                <w:rFonts w:ascii="Arial Narrow" w:hAnsi="Arial Narrow" w:cs="Arial"/>
                <w:b/>
                <w:bCs/>
                <w:sz w:val="16"/>
                <w:szCs w:val="16"/>
              </w:rPr>
            </w:pPr>
            <w:r w:rsidRPr="00847FDD">
              <w:rPr>
                <w:rFonts w:ascii="Arial Narrow" w:hAnsi="Arial Narrow" w:cs="Arial"/>
                <w:b/>
                <w:bCs/>
                <w:sz w:val="16"/>
                <w:szCs w:val="16"/>
              </w:rPr>
              <w:t>Δ</w:t>
            </w:r>
            <w:r>
              <w:rPr>
                <w:rFonts w:ascii="Arial Narrow" w:hAnsi="Arial Narrow" w:cs="Arial"/>
                <w:b/>
                <w:bCs/>
                <w:sz w:val="16"/>
                <w:szCs w:val="16"/>
              </w:rPr>
              <w:t xml:space="preserve">άνεια από </w:t>
            </w:r>
            <w:r w:rsidRPr="00847FDD">
              <w:rPr>
                <w:rFonts w:ascii="Arial Narrow" w:hAnsi="Arial Narrow" w:cs="Arial"/>
                <w:b/>
                <w:bCs/>
                <w:sz w:val="16"/>
                <w:szCs w:val="16"/>
              </w:rPr>
              <w:t>Τ</w:t>
            </w:r>
            <w:r>
              <w:rPr>
                <w:rFonts w:ascii="Arial Narrow" w:hAnsi="Arial Narrow" w:cs="Arial"/>
                <w:b/>
                <w:bCs/>
                <w:sz w:val="16"/>
                <w:szCs w:val="16"/>
              </w:rPr>
              <w:t xml:space="preserve">ράπεζα </w:t>
            </w:r>
            <w:r w:rsidRPr="00847FDD">
              <w:rPr>
                <w:rFonts w:ascii="Arial Narrow" w:hAnsi="Arial Narrow" w:cs="Arial"/>
                <w:b/>
                <w:bCs/>
                <w:sz w:val="16"/>
                <w:szCs w:val="16"/>
              </w:rPr>
              <w:t>Ε</w:t>
            </w:r>
            <w:r>
              <w:rPr>
                <w:rFonts w:ascii="Arial Narrow" w:hAnsi="Arial Narrow" w:cs="Arial"/>
                <w:b/>
                <w:bCs/>
                <w:sz w:val="16"/>
                <w:szCs w:val="16"/>
              </w:rPr>
              <w:t>λλάδος</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82518" w:rsidRPr="00847FDD" w:rsidRDefault="00482518" w:rsidP="00C65143">
            <w:pPr>
              <w:jc w:val="center"/>
              <w:rPr>
                <w:rFonts w:ascii="Arial Narrow" w:hAnsi="Arial Narrow" w:cs="Arial"/>
                <w:b/>
                <w:bCs/>
                <w:sz w:val="16"/>
                <w:szCs w:val="16"/>
              </w:rPr>
            </w:pPr>
            <w:r w:rsidRPr="00847FDD">
              <w:rPr>
                <w:rFonts w:ascii="Arial Narrow" w:hAnsi="Arial Narrow" w:cs="Arial"/>
                <w:b/>
                <w:bCs/>
                <w:sz w:val="16"/>
                <w:szCs w:val="16"/>
              </w:rPr>
              <w:t>Λ</w:t>
            </w:r>
            <w:r>
              <w:rPr>
                <w:rFonts w:ascii="Arial Narrow" w:hAnsi="Arial Narrow" w:cs="Arial"/>
                <w:b/>
                <w:bCs/>
                <w:sz w:val="16"/>
                <w:szCs w:val="16"/>
              </w:rPr>
              <w:t>οιπά δάνεια</w:t>
            </w:r>
          </w:p>
        </w:tc>
        <w:tc>
          <w:tcPr>
            <w:tcW w:w="807" w:type="dxa"/>
            <w:tcBorders>
              <w:top w:val="single" w:sz="4" w:space="0" w:color="auto"/>
              <w:left w:val="nil"/>
              <w:bottom w:val="single" w:sz="4" w:space="0" w:color="auto"/>
              <w:right w:val="single" w:sz="4" w:space="0" w:color="auto"/>
            </w:tcBorders>
            <w:shd w:val="clear" w:color="auto" w:fill="auto"/>
            <w:vAlign w:val="center"/>
            <w:hideMark/>
          </w:tcPr>
          <w:p w:rsidR="00482518" w:rsidRPr="00847FDD" w:rsidRDefault="00482518" w:rsidP="00C65143">
            <w:pPr>
              <w:jc w:val="center"/>
              <w:rPr>
                <w:rFonts w:ascii="Arial Narrow" w:hAnsi="Arial Narrow" w:cs="Arial"/>
                <w:b/>
                <w:bCs/>
                <w:sz w:val="16"/>
                <w:szCs w:val="16"/>
              </w:rPr>
            </w:pPr>
            <w:r>
              <w:rPr>
                <w:rFonts w:ascii="Arial Narrow" w:hAnsi="Arial Narrow" w:cs="Arial"/>
                <w:b/>
                <w:bCs/>
                <w:sz w:val="16"/>
                <w:szCs w:val="16"/>
              </w:rPr>
              <w:t>Σύνολο</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482518" w:rsidRPr="00847FDD" w:rsidRDefault="00482518" w:rsidP="00C65143">
            <w:pPr>
              <w:jc w:val="center"/>
              <w:rPr>
                <w:rFonts w:ascii="Arial Narrow" w:hAnsi="Arial Narrow" w:cs="Arial"/>
                <w:b/>
                <w:bCs/>
                <w:sz w:val="16"/>
                <w:szCs w:val="16"/>
              </w:rPr>
            </w:pPr>
            <w:r>
              <w:rPr>
                <w:rFonts w:ascii="Arial Narrow" w:hAnsi="Arial Narrow" w:cs="Arial"/>
                <w:b/>
                <w:bCs/>
                <w:sz w:val="16"/>
                <w:szCs w:val="16"/>
              </w:rPr>
              <w:t>Ποσοστό απόσβεσης</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2019</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7.819,3</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21.072,2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2.017,5</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447,9</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38,0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2,2</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3,4</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31.400,5</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8,87%</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7.412,0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1.366,4</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2.029,1</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706,3</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331,6</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472,3</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16,3</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12.333,8</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3,49%</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2021</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503,8</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2.029,1</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2.073,8</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375,0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472,3</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16,2</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5.470,0</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1,55%</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4.312,2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1.895,1</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376,9</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472,3</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9.717,4</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2,75%</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2023</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5.156,7</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1.328,4</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1.738,0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380,1</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491,3</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11.755,5</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3,32%</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2024</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4.250,9</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290,7</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1.738,0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391,1</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122,2</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9.437,8</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2,67%</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2025</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4.449,7</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1.738,0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398,2</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9.246,9</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2,61%</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2026</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5.749,0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1.738,0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399,1</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10.547,2</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2,98%</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2027</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160,6</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1.738,0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1.363,1</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5.922,8</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1,67%</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2028</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6.346,0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1.832,2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709,2</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11.548,5</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3,26%</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2029</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2.664,8</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1.832,2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165,1</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7.323,2</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2,07%</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255,2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1.832,2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726,5</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5.475,0</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1,55%</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2031</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129,0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1.832,2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464,4</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5.086,7</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1,44%</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126,2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1.832,2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762,7</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5.382,2</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1,52%</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2033</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6.238,1</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1.832,2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465,0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9,6</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11.190,0</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3,16%</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2034</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468,3</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2.958,5</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29,7</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8,8</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6.110,3</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1,73%</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2035</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144,4</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2.975,9</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32,5</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5.797,8</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1,64%</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2036</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166,2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2.993,3</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20,3</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5.824,8</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1,65%</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2037</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5.083,7</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3.010,7</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16,1</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10.755,4</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3,04%</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2038</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146,9</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2.707,4</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9,5</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5.508,9</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1,56%</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2039</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135,1</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2.645,0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2.724,8</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9,5</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5.514,4</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1,56%</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141,9</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1.938,8</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2.742,2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9,6</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4.832,4</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1,37%</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2041</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136,8</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571,3</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2.763,1</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9,6</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3.480,6</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0,98%</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4.767,4</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2.783,9</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0,3</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7.551,6</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2,13%</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2043</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3.624,6</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0,3</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3.624,9</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1,02%</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2044</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3.695,9</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0,3</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3.696,2</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1,05%</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2045</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3.768,8</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0,3</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3.769,0</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1,07%</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2046</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3.843,2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0,3</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3.843,4</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1,09%</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2047</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3.919,2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0,3</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3.919,4</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1,11%</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2048</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3.996,8</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0,1</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3.996,9</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1,13%</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2049</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4.076,2</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4.076,2</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1,15%</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4.160,7</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4.160,7</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1,18%</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2051</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6.216,6</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6.216,6</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1,76%</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6.333,5</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6.333,5</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1,79%</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2053</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6.443,1</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6.443,1</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1,82%</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2054</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6.565,6</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6.565,6</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1,86%</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2055</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6.690,7</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6.690,7</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1,89%</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2056</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6.819,0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6.819,0</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1,93%</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2057</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1.195,8</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6.950,3</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8.146,1</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2,30%</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2058</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7.084,7</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7.084,7</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2,00%</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2059</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7.214,8</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7.214,8</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2,04%</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sidRPr="00847FDD">
              <w:rPr>
                <w:rFonts w:ascii="Arial Narrow" w:hAnsi="Arial Narrow" w:cs="Arial"/>
                <w:sz w:val="16"/>
                <w:szCs w:val="16"/>
              </w:rPr>
              <w:t>2060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7.360,4</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7.360,4</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2,08%</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2061</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4.071,5</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4.071,5</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1,15%</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2062</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4.193,7</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4.193,7</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1,19%</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2063</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4.319,5</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4.319,5</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1,22%</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2064</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4.449,1</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4.449,1</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1,26%</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2065</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4.582,5</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4.582,5</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1,30%</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2066</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4.720,0</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4.720,0</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1,33%</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2067</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4.861,6</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4.861,6</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1,37%</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2068</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5.007,4</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5.007,4</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1,42%</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2069</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5.157,7</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5.157,7</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1,46%</w:t>
            </w:r>
          </w:p>
        </w:tc>
      </w:tr>
      <w:tr w:rsidR="00482518" w:rsidRPr="00847FDD" w:rsidTr="00482518">
        <w:trPr>
          <w:trHeight w:val="215"/>
        </w:trPr>
        <w:tc>
          <w:tcPr>
            <w:tcW w:w="636" w:type="dxa"/>
            <w:tcBorders>
              <w:top w:val="nil"/>
              <w:left w:val="single" w:sz="4" w:space="0" w:color="auto"/>
            </w:tcBorders>
            <w:shd w:val="clear" w:color="auto" w:fill="auto"/>
            <w:noWrap/>
            <w:vAlign w:val="bottom"/>
            <w:hideMark/>
          </w:tcPr>
          <w:p w:rsidR="00482518" w:rsidRPr="00847FDD" w:rsidRDefault="00482518" w:rsidP="00C65143">
            <w:pPr>
              <w:jc w:val="center"/>
              <w:rPr>
                <w:rFonts w:ascii="Arial Narrow" w:hAnsi="Arial Narrow" w:cs="Arial"/>
                <w:sz w:val="16"/>
                <w:szCs w:val="16"/>
              </w:rPr>
            </w:pPr>
            <w:r>
              <w:rPr>
                <w:rFonts w:ascii="Arial Narrow" w:hAnsi="Arial Narrow" w:cs="Arial"/>
                <w:sz w:val="16"/>
                <w:szCs w:val="16"/>
              </w:rPr>
              <w:t>2070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rPr>
                <w:rFonts w:ascii="Arial Narrow" w:hAnsi="Arial Narrow" w:cs="Arial"/>
                <w:sz w:val="16"/>
                <w:szCs w:val="16"/>
              </w:rPr>
            </w:pPr>
            <w:r>
              <w:rPr>
                <w:rFonts w:ascii="Arial Narrow" w:hAnsi="Arial Narrow" w:cs="Arial"/>
                <w:sz w:val="16"/>
                <w:szCs w:val="16"/>
              </w:rPr>
              <w:t> </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9"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0"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5.312,4</w:t>
            </w:r>
          </w:p>
        </w:tc>
        <w:tc>
          <w:tcPr>
            <w:tcW w:w="992"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51"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708" w:type="dxa"/>
            <w:tcBorders>
              <w:top w:val="nil"/>
            </w:tcBorders>
            <w:shd w:val="clear" w:color="auto" w:fill="auto"/>
            <w:noWrap/>
            <w:vAlign w:val="bottom"/>
            <w:hideMark/>
          </w:tcPr>
          <w:p w:rsidR="00482518" w:rsidRDefault="00482518" w:rsidP="00482518">
            <w:pPr>
              <w:ind w:right="113"/>
              <w:jc w:val="right"/>
              <w:rPr>
                <w:rFonts w:ascii="Arial Narrow" w:hAnsi="Arial Narrow" w:cs="Arial"/>
                <w:sz w:val="16"/>
                <w:szCs w:val="16"/>
              </w:rPr>
            </w:pPr>
            <w:r>
              <w:rPr>
                <w:rFonts w:ascii="Arial Narrow" w:hAnsi="Arial Narrow" w:cs="Arial"/>
                <w:sz w:val="16"/>
                <w:szCs w:val="16"/>
              </w:rPr>
              <w:t>0,0</w:t>
            </w:r>
          </w:p>
        </w:tc>
        <w:tc>
          <w:tcPr>
            <w:tcW w:w="807" w:type="dxa"/>
            <w:tcBorders>
              <w:top w:val="nil"/>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5.312,4</w:t>
            </w:r>
          </w:p>
        </w:tc>
        <w:tc>
          <w:tcPr>
            <w:tcW w:w="876" w:type="dxa"/>
            <w:tcBorders>
              <w:top w:val="nil"/>
              <w:right w:val="single" w:sz="4" w:space="0" w:color="auto"/>
            </w:tcBorders>
            <w:shd w:val="clear" w:color="auto" w:fill="auto"/>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1,50%</w:t>
            </w:r>
          </w:p>
        </w:tc>
      </w:tr>
      <w:tr w:rsidR="00482518" w:rsidRPr="00847FDD" w:rsidTr="00482518">
        <w:trPr>
          <w:trHeight w:val="215"/>
        </w:trPr>
        <w:tc>
          <w:tcPr>
            <w:tcW w:w="636" w:type="dxa"/>
            <w:tcBorders>
              <w:top w:val="nil"/>
              <w:left w:val="single" w:sz="4" w:space="0" w:color="auto"/>
              <w:bottom w:val="single" w:sz="4" w:space="0" w:color="auto"/>
            </w:tcBorders>
            <w:shd w:val="clear" w:color="auto" w:fill="D9D9D9" w:themeFill="background1" w:themeFillShade="D9"/>
            <w:noWrap/>
            <w:vAlign w:val="bottom"/>
            <w:hideMark/>
          </w:tcPr>
          <w:p w:rsidR="00482518" w:rsidRPr="00847FDD" w:rsidRDefault="00482518" w:rsidP="00C65143">
            <w:pPr>
              <w:rPr>
                <w:rFonts w:ascii="Arial Narrow" w:hAnsi="Arial Narrow" w:cs="Arial"/>
                <w:b/>
                <w:bCs/>
                <w:sz w:val="16"/>
                <w:szCs w:val="16"/>
              </w:rPr>
            </w:pPr>
            <w:r w:rsidRPr="00847FDD">
              <w:rPr>
                <w:rFonts w:ascii="Arial Narrow" w:hAnsi="Arial Narrow" w:cs="Arial"/>
                <w:b/>
                <w:bCs/>
                <w:sz w:val="16"/>
                <w:szCs w:val="16"/>
              </w:rPr>
              <w:t>Σ</w:t>
            </w:r>
            <w:r>
              <w:rPr>
                <w:rFonts w:ascii="Arial Narrow" w:hAnsi="Arial Narrow" w:cs="Arial"/>
                <w:b/>
                <w:bCs/>
                <w:sz w:val="16"/>
                <w:szCs w:val="16"/>
              </w:rPr>
              <w:t>ύνολο</w:t>
            </w:r>
          </w:p>
        </w:tc>
        <w:tc>
          <w:tcPr>
            <w:tcW w:w="709"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15.231,3</w:t>
            </w:r>
          </w:p>
        </w:tc>
        <w:tc>
          <w:tcPr>
            <w:tcW w:w="850"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21.072,2</w:t>
            </w:r>
          </w:p>
        </w:tc>
        <w:tc>
          <w:tcPr>
            <w:tcW w:w="709"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56.112,5</w:t>
            </w:r>
          </w:p>
        </w:tc>
        <w:tc>
          <w:tcPr>
            <w:tcW w:w="709"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8.020,3</w:t>
            </w:r>
          </w:p>
        </w:tc>
        <w:tc>
          <w:tcPr>
            <w:tcW w:w="850"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52.900,0</w:t>
            </w:r>
          </w:p>
        </w:tc>
        <w:tc>
          <w:tcPr>
            <w:tcW w:w="851"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190.782,3</w:t>
            </w:r>
          </w:p>
        </w:tc>
        <w:tc>
          <w:tcPr>
            <w:tcW w:w="992"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7.484,4</w:t>
            </w:r>
          </w:p>
        </w:tc>
        <w:tc>
          <w:tcPr>
            <w:tcW w:w="851"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1.910,4</w:t>
            </w:r>
          </w:p>
        </w:tc>
        <w:tc>
          <w:tcPr>
            <w:tcW w:w="708"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336,9</w:t>
            </w:r>
          </w:p>
        </w:tc>
        <w:tc>
          <w:tcPr>
            <w:tcW w:w="807" w:type="dxa"/>
            <w:tcBorders>
              <w:top w:val="nil"/>
              <w:bottom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353.850,3</w:t>
            </w:r>
          </w:p>
        </w:tc>
        <w:tc>
          <w:tcPr>
            <w:tcW w:w="876" w:type="dxa"/>
            <w:tcBorders>
              <w:top w:val="nil"/>
              <w:bottom w:val="single" w:sz="4" w:space="0" w:color="auto"/>
              <w:right w:val="single" w:sz="4" w:space="0" w:color="auto"/>
            </w:tcBorders>
            <w:shd w:val="clear" w:color="auto" w:fill="D9D9D9" w:themeFill="background1" w:themeFillShade="D9"/>
            <w:noWrap/>
            <w:vAlign w:val="bottom"/>
            <w:hideMark/>
          </w:tcPr>
          <w:p w:rsidR="00482518" w:rsidRDefault="00482518" w:rsidP="00482518">
            <w:pPr>
              <w:ind w:right="113"/>
              <w:jc w:val="right"/>
              <w:rPr>
                <w:rFonts w:ascii="Arial Narrow" w:hAnsi="Arial Narrow" w:cs="Arial"/>
                <w:b/>
                <w:bCs/>
                <w:sz w:val="16"/>
                <w:szCs w:val="16"/>
              </w:rPr>
            </w:pPr>
            <w:r>
              <w:rPr>
                <w:rFonts w:ascii="Arial Narrow" w:hAnsi="Arial Narrow" w:cs="Arial"/>
                <w:b/>
                <w:bCs/>
                <w:sz w:val="16"/>
                <w:szCs w:val="16"/>
              </w:rPr>
              <w:t>100,00%</w:t>
            </w:r>
          </w:p>
        </w:tc>
      </w:tr>
    </w:tbl>
    <w:p w:rsidR="009E4373" w:rsidRDefault="009E4373" w:rsidP="00482518">
      <w:pPr>
        <w:tabs>
          <w:tab w:val="left" w:pos="180"/>
        </w:tabs>
        <w:jc w:val="both"/>
        <w:rPr>
          <w:sz w:val="22"/>
          <w:szCs w:val="22"/>
        </w:rPr>
      </w:pPr>
    </w:p>
    <w:p w:rsidR="009E4373" w:rsidRDefault="009E4373">
      <w:pPr>
        <w:rPr>
          <w:sz w:val="22"/>
          <w:szCs w:val="22"/>
        </w:rPr>
      </w:pPr>
      <w:r>
        <w:rPr>
          <w:sz w:val="22"/>
          <w:szCs w:val="22"/>
        </w:rPr>
        <w:br w:type="page"/>
      </w:r>
    </w:p>
    <w:tbl>
      <w:tblPr>
        <w:tblW w:w="0" w:type="auto"/>
        <w:tblBorders>
          <w:insideV w:val="single" w:sz="4" w:space="0" w:color="auto"/>
        </w:tblBorders>
        <w:tblLook w:val="00A0"/>
      </w:tblPr>
      <w:tblGrid>
        <w:gridCol w:w="9287"/>
      </w:tblGrid>
      <w:tr w:rsidR="000B14FA" w:rsidRPr="0015043C" w:rsidTr="00C65143">
        <w:tc>
          <w:tcPr>
            <w:tcW w:w="9287" w:type="dxa"/>
            <w:shd w:val="clear" w:color="auto" w:fill="404040" w:themeFill="text1" w:themeFillTint="BF"/>
          </w:tcPr>
          <w:p w:rsidR="000B14FA" w:rsidRPr="0015043C" w:rsidRDefault="000B14FA" w:rsidP="00C65143">
            <w:pPr>
              <w:pStyle w:val="a6"/>
              <w:tabs>
                <w:tab w:val="left" w:pos="4608"/>
                <w:tab w:val="left" w:pos="5508"/>
                <w:tab w:val="left" w:pos="6588"/>
              </w:tabs>
              <w:spacing w:before="120"/>
              <w:jc w:val="center"/>
              <w:rPr>
                <w:rFonts w:ascii="Arial Narrow" w:hAnsi="Arial Narrow" w:cs="Times New Roman"/>
                <w:b/>
                <w:color w:val="FFFFFF"/>
                <w:sz w:val="24"/>
              </w:rPr>
            </w:pPr>
            <w:r>
              <w:rPr>
                <w:rFonts w:ascii="Arial Narrow" w:hAnsi="Arial Narrow" w:cs="Times New Roman"/>
                <w:b/>
                <w:color w:val="FFFFFF"/>
                <w:sz w:val="24"/>
              </w:rPr>
              <w:lastRenderedPageBreak/>
              <w:t xml:space="preserve">Διάγραμμα </w:t>
            </w:r>
            <w:r w:rsidRPr="00707F23">
              <w:rPr>
                <w:rFonts w:ascii="Arial Narrow" w:hAnsi="Arial Narrow" w:cs="Times New Roman"/>
                <w:b/>
                <w:color w:val="FFFFFF"/>
                <w:sz w:val="24"/>
              </w:rPr>
              <w:t>4</w:t>
            </w:r>
            <w:r>
              <w:rPr>
                <w:rFonts w:ascii="Arial Narrow" w:hAnsi="Arial Narrow" w:cs="Times New Roman"/>
                <w:b/>
                <w:color w:val="FFFFFF"/>
                <w:sz w:val="24"/>
              </w:rPr>
              <w:t xml:space="preserve">.1 </w:t>
            </w:r>
            <w:r w:rsidRPr="0015043C">
              <w:rPr>
                <w:rFonts w:ascii="Arial Narrow" w:hAnsi="Arial Narrow" w:cs="Times New Roman"/>
                <w:b/>
                <w:color w:val="FFFFFF"/>
                <w:sz w:val="24"/>
              </w:rPr>
              <w:t xml:space="preserve"> Χρονοδιάγραμμα λήξης χρέους της Κεντρικής </w:t>
            </w:r>
            <w:r>
              <w:rPr>
                <w:rFonts w:ascii="Arial Narrow" w:hAnsi="Arial Narrow" w:cs="Times New Roman"/>
                <w:b/>
                <w:color w:val="FFFFFF"/>
                <w:sz w:val="24"/>
              </w:rPr>
              <w:t>Διοίκησης</w:t>
            </w:r>
          </w:p>
          <w:p w:rsidR="000B14FA" w:rsidRPr="0031536C" w:rsidRDefault="000B14FA" w:rsidP="00C65143">
            <w:pPr>
              <w:jc w:val="center"/>
              <w:rPr>
                <w:rFonts w:ascii="Arial Narrow" w:hAnsi="Arial Narrow"/>
                <w:b/>
                <w:color w:val="FFFFFF"/>
              </w:rPr>
            </w:pPr>
            <w:r>
              <w:rPr>
                <w:rFonts w:ascii="Arial Narrow" w:hAnsi="Arial Narrow"/>
                <w:b/>
                <w:color w:val="FFFFFF"/>
              </w:rPr>
              <w:t>την 3</w:t>
            </w:r>
            <w:r w:rsidRPr="0099665D">
              <w:rPr>
                <w:rFonts w:ascii="Arial Narrow" w:hAnsi="Arial Narrow"/>
                <w:b/>
                <w:color w:val="FFFFFF"/>
              </w:rPr>
              <w:t>0/9</w:t>
            </w:r>
            <w:r>
              <w:rPr>
                <w:rFonts w:ascii="Arial Narrow" w:hAnsi="Arial Narrow"/>
                <w:b/>
                <w:color w:val="FFFFFF"/>
              </w:rPr>
              <w:t>/2019</w:t>
            </w:r>
          </w:p>
          <w:p w:rsidR="000B14FA" w:rsidRPr="0015043C" w:rsidRDefault="000B14FA" w:rsidP="00C65143">
            <w:pPr>
              <w:spacing w:after="120"/>
              <w:jc w:val="center"/>
              <w:rPr>
                <w:sz w:val="22"/>
                <w:szCs w:val="22"/>
              </w:rPr>
            </w:pPr>
            <w:r w:rsidRPr="0015043C">
              <w:rPr>
                <w:rFonts w:ascii="Arial Narrow" w:hAnsi="Arial Narrow"/>
                <w:b/>
                <w:color w:val="FFFFFF"/>
                <w:szCs w:val="16"/>
              </w:rPr>
              <w:t>(σε εκατ. ευρώ)</w:t>
            </w:r>
          </w:p>
        </w:tc>
      </w:tr>
      <w:tr w:rsidR="000B14FA" w:rsidRPr="0015043C" w:rsidTr="00C65143">
        <w:tc>
          <w:tcPr>
            <w:tcW w:w="9287" w:type="dxa"/>
          </w:tcPr>
          <w:p w:rsidR="000B14FA" w:rsidRPr="0015043C" w:rsidRDefault="000B14FA" w:rsidP="00C65143">
            <w:pPr>
              <w:pStyle w:val="a6"/>
              <w:tabs>
                <w:tab w:val="left" w:pos="4608"/>
                <w:tab w:val="left" w:pos="5508"/>
                <w:tab w:val="left" w:pos="6588"/>
              </w:tabs>
              <w:spacing w:before="60" w:after="60"/>
              <w:jc w:val="center"/>
              <w:rPr>
                <w:rFonts w:ascii="Arial Narrow" w:hAnsi="Arial Narrow" w:cs="Times New Roman"/>
                <w:b/>
                <w:color w:val="FFFFFF"/>
                <w:sz w:val="24"/>
              </w:rPr>
            </w:pPr>
            <w:r w:rsidRPr="000B14FA">
              <w:rPr>
                <w:rFonts w:ascii="Arial Narrow" w:hAnsi="Arial Narrow" w:cs="Times New Roman"/>
                <w:b/>
                <w:noProof/>
                <w:color w:val="FFFFFF"/>
                <w:sz w:val="24"/>
              </w:rPr>
              <w:drawing>
                <wp:inline distT="0" distB="0" distL="0" distR="0">
                  <wp:extent cx="5486400" cy="2436495"/>
                  <wp:effectExtent l="0" t="0" r="0" b="0"/>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rsidR="000B14FA" w:rsidRPr="0015043C" w:rsidRDefault="000B14FA" w:rsidP="000B14FA">
      <w:pPr>
        <w:tabs>
          <w:tab w:val="left" w:pos="4608"/>
          <w:tab w:val="left" w:pos="5508"/>
          <w:tab w:val="left" w:pos="6588"/>
        </w:tabs>
        <w:ind w:left="180"/>
        <w:rPr>
          <w:rFonts w:ascii="Arial Narrow" w:hAnsi="Arial Narrow"/>
          <w:sz w:val="16"/>
          <w:szCs w:val="16"/>
        </w:rPr>
      </w:pPr>
      <w:r>
        <w:rPr>
          <w:rFonts w:ascii="Arial Narrow" w:hAnsi="Arial Narrow"/>
          <w:sz w:val="16"/>
          <w:szCs w:val="16"/>
        </w:rPr>
        <w:t xml:space="preserve">    </w:t>
      </w:r>
      <w:r w:rsidRPr="0015043C">
        <w:rPr>
          <w:rFonts w:ascii="Arial Narrow" w:hAnsi="Arial Narrow"/>
          <w:sz w:val="16"/>
          <w:szCs w:val="16"/>
        </w:rPr>
        <w:t xml:space="preserve">Πηγή:  </w:t>
      </w:r>
      <w:r>
        <w:rPr>
          <w:rFonts w:ascii="Arial Narrow" w:hAnsi="Arial Narrow"/>
          <w:sz w:val="16"/>
          <w:szCs w:val="16"/>
        </w:rPr>
        <w:t>ΟΔΔΗΧ</w:t>
      </w:r>
    </w:p>
    <w:p w:rsidR="00482518" w:rsidRPr="00847FDD" w:rsidRDefault="00482518" w:rsidP="00482518">
      <w:pPr>
        <w:tabs>
          <w:tab w:val="left" w:pos="180"/>
        </w:tabs>
        <w:jc w:val="both"/>
        <w:rPr>
          <w:sz w:val="22"/>
          <w:szCs w:val="22"/>
        </w:rPr>
      </w:pPr>
    </w:p>
    <w:p w:rsidR="003711D9" w:rsidRDefault="003711D9" w:rsidP="003711D9">
      <w:pPr>
        <w:jc w:val="both"/>
        <w:rPr>
          <w:sz w:val="22"/>
          <w:szCs w:val="22"/>
        </w:rPr>
      </w:pPr>
    </w:p>
    <w:p w:rsidR="003711D9" w:rsidRPr="00E3344E" w:rsidRDefault="003711D9" w:rsidP="003711D9">
      <w:pPr>
        <w:jc w:val="both"/>
        <w:rPr>
          <w:sz w:val="22"/>
          <w:szCs w:val="22"/>
        </w:rPr>
      </w:pPr>
      <w:r>
        <w:rPr>
          <w:sz w:val="22"/>
          <w:szCs w:val="22"/>
        </w:rPr>
        <w:t>Στις 30/09/2019</w:t>
      </w:r>
      <w:r w:rsidRPr="00E3344E">
        <w:rPr>
          <w:sz w:val="22"/>
          <w:szCs w:val="22"/>
        </w:rPr>
        <w:t xml:space="preserve"> το ύψος των </w:t>
      </w:r>
      <w:r w:rsidR="00093A16" w:rsidRPr="00E3344E">
        <w:rPr>
          <w:sz w:val="22"/>
          <w:szCs w:val="22"/>
        </w:rPr>
        <w:t>Ομολόγων</w:t>
      </w:r>
      <w:r w:rsidR="00093A16">
        <w:rPr>
          <w:sz w:val="22"/>
          <w:szCs w:val="22"/>
        </w:rPr>
        <w:t xml:space="preserve"> Εσωτερικού</w:t>
      </w:r>
      <w:r w:rsidR="00093A16" w:rsidRPr="00E3344E">
        <w:rPr>
          <w:sz w:val="22"/>
          <w:szCs w:val="22"/>
        </w:rPr>
        <w:t xml:space="preserve"> </w:t>
      </w:r>
      <w:r w:rsidRPr="00E3344E">
        <w:rPr>
          <w:sz w:val="22"/>
          <w:szCs w:val="22"/>
        </w:rPr>
        <w:t>του Ελληνικού Δημοσίου περιορίστηκε στο 1</w:t>
      </w:r>
      <w:r>
        <w:rPr>
          <w:sz w:val="22"/>
          <w:szCs w:val="22"/>
        </w:rPr>
        <w:t>5,4</w:t>
      </w:r>
      <w:r w:rsidRPr="00E3344E">
        <w:rPr>
          <w:sz w:val="22"/>
          <w:szCs w:val="22"/>
        </w:rPr>
        <w:t xml:space="preserve">% του χρέους Κεντρικής Διοίκησης (έναντι 91% το 2009) και αντικαταστάθηκε με δάνεια που ελήφθησαν από το Μηχανισμό Στήριξης, τα οποία αποτελούν πλέον το </w:t>
      </w:r>
      <w:r w:rsidRPr="0077794A">
        <w:rPr>
          <w:sz w:val="22"/>
          <w:szCs w:val="22"/>
        </w:rPr>
        <w:t>7</w:t>
      </w:r>
      <w:r>
        <w:rPr>
          <w:sz w:val="22"/>
          <w:szCs w:val="22"/>
        </w:rPr>
        <w:t>1</w:t>
      </w:r>
      <w:r w:rsidRPr="0077794A">
        <w:rPr>
          <w:sz w:val="22"/>
          <w:szCs w:val="22"/>
        </w:rPr>
        <w:t>,</w:t>
      </w:r>
      <w:r>
        <w:rPr>
          <w:sz w:val="22"/>
          <w:szCs w:val="22"/>
        </w:rPr>
        <w:t>1</w:t>
      </w:r>
      <w:r w:rsidRPr="00E3344E">
        <w:rPr>
          <w:sz w:val="22"/>
          <w:szCs w:val="22"/>
        </w:rPr>
        <w:t>% του χρέους Κεντρικής Διοίκησης (διάγραμμα 4.2).</w:t>
      </w:r>
    </w:p>
    <w:p w:rsidR="003711D9" w:rsidRDefault="003711D9" w:rsidP="003711D9">
      <w:pPr>
        <w:jc w:val="both"/>
        <w:rPr>
          <w:sz w:val="22"/>
          <w:szCs w:val="22"/>
        </w:rPr>
      </w:pPr>
    </w:p>
    <w:tbl>
      <w:tblPr>
        <w:tblW w:w="9288" w:type="dxa"/>
        <w:tblBorders>
          <w:insideV w:val="single" w:sz="4" w:space="0" w:color="auto"/>
        </w:tblBorders>
        <w:tblLook w:val="00A0"/>
      </w:tblPr>
      <w:tblGrid>
        <w:gridCol w:w="9288"/>
      </w:tblGrid>
      <w:tr w:rsidR="003711D9" w:rsidRPr="0015043C" w:rsidTr="00C65143">
        <w:trPr>
          <w:trHeight w:val="476"/>
        </w:trPr>
        <w:tc>
          <w:tcPr>
            <w:tcW w:w="9288" w:type="dxa"/>
            <w:shd w:val="clear" w:color="auto" w:fill="404040" w:themeFill="text1" w:themeFillTint="BF"/>
          </w:tcPr>
          <w:p w:rsidR="003711D9" w:rsidRPr="0015043C" w:rsidRDefault="003711D9" w:rsidP="00C65143">
            <w:pPr>
              <w:spacing w:before="120"/>
              <w:jc w:val="center"/>
              <w:rPr>
                <w:rFonts w:ascii="Arial Narrow" w:hAnsi="Arial Narrow"/>
                <w:b/>
                <w:color w:val="FFFFFF"/>
              </w:rPr>
            </w:pPr>
            <w:r w:rsidRPr="0015043C">
              <w:rPr>
                <w:rFonts w:ascii="Arial Narrow" w:hAnsi="Arial Narrow"/>
                <w:b/>
                <w:color w:val="FFFFFF"/>
              </w:rPr>
              <w:t xml:space="preserve">Διάγραμμα </w:t>
            </w:r>
            <w:r>
              <w:rPr>
                <w:rFonts w:ascii="Arial Narrow" w:hAnsi="Arial Narrow"/>
                <w:b/>
                <w:color w:val="FFFFFF"/>
              </w:rPr>
              <w:t>4.</w:t>
            </w:r>
            <w:r w:rsidRPr="005F24E1">
              <w:rPr>
                <w:rFonts w:ascii="Arial Narrow" w:hAnsi="Arial Narrow"/>
                <w:b/>
                <w:color w:val="FFFFFF"/>
              </w:rPr>
              <w:t>2</w:t>
            </w:r>
            <w:r w:rsidRPr="0015043C">
              <w:rPr>
                <w:rFonts w:ascii="Arial Narrow" w:hAnsi="Arial Narrow"/>
                <w:b/>
                <w:color w:val="FFFFFF"/>
              </w:rPr>
              <w:t xml:space="preserve">  Σύνθεση χρέους Κεντρικής </w:t>
            </w:r>
            <w:r>
              <w:rPr>
                <w:rFonts w:ascii="Arial Narrow" w:hAnsi="Arial Narrow"/>
                <w:b/>
                <w:color w:val="FFFFFF"/>
              </w:rPr>
              <w:t>Διοίκησης</w:t>
            </w:r>
          </w:p>
          <w:p w:rsidR="003711D9" w:rsidRPr="00C5708C" w:rsidRDefault="003711D9" w:rsidP="00C65143">
            <w:pPr>
              <w:spacing w:after="120"/>
              <w:jc w:val="center"/>
              <w:rPr>
                <w:sz w:val="22"/>
                <w:szCs w:val="22"/>
              </w:rPr>
            </w:pPr>
            <w:r w:rsidRPr="0015043C">
              <w:rPr>
                <w:rFonts w:ascii="Arial Narrow" w:hAnsi="Arial Narrow"/>
                <w:b/>
                <w:color w:val="FFFFFF"/>
              </w:rPr>
              <w:t>την 3</w:t>
            </w:r>
            <w:r w:rsidRPr="005F24E1">
              <w:rPr>
                <w:rFonts w:ascii="Arial Narrow" w:hAnsi="Arial Narrow"/>
                <w:b/>
                <w:color w:val="FFFFFF"/>
              </w:rPr>
              <w:t>0</w:t>
            </w:r>
            <w:r w:rsidRPr="0015043C">
              <w:rPr>
                <w:rFonts w:ascii="Arial Narrow" w:hAnsi="Arial Narrow"/>
                <w:b/>
                <w:color w:val="FFFFFF"/>
              </w:rPr>
              <w:t>/</w:t>
            </w:r>
            <w:r>
              <w:rPr>
                <w:rFonts w:ascii="Arial Narrow" w:hAnsi="Arial Narrow"/>
                <w:b/>
                <w:color w:val="FFFFFF"/>
              </w:rPr>
              <w:t>0</w:t>
            </w:r>
            <w:r w:rsidRPr="005F24E1">
              <w:rPr>
                <w:rFonts w:ascii="Arial Narrow" w:hAnsi="Arial Narrow"/>
                <w:b/>
                <w:color w:val="FFFFFF"/>
              </w:rPr>
              <w:t>9</w:t>
            </w:r>
            <w:r w:rsidRPr="0015043C">
              <w:rPr>
                <w:rFonts w:ascii="Arial Narrow" w:hAnsi="Arial Narrow"/>
                <w:b/>
                <w:color w:val="FFFFFF"/>
              </w:rPr>
              <w:t>/201</w:t>
            </w:r>
            <w:r>
              <w:rPr>
                <w:rFonts w:ascii="Arial Narrow" w:hAnsi="Arial Narrow"/>
                <w:b/>
                <w:color w:val="FFFFFF"/>
              </w:rPr>
              <w:t>9</w:t>
            </w:r>
          </w:p>
        </w:tc>
      </w:tr>
      <w:tr w:rsidR="003711D9" w:rsidRPr="0015043C" w:rsidTr="00C65143">
        <w:tc>
          <w:tcPr>
            <w:tcW w:w="9288" w:type="dxa"/>
          </w:tcPr>
          <w:p w:rsidR="003711D9" w:rsidRPr="0015043C" w:rsidRDefault="00E41919" w:rsidP="00C65143">
            <w:pPr>
              <w:jc w:val="center"/>
              <w:rPr>
                <w:sz w:val="22"/>
                <w:szCs w:val="22"/>
              </w:rPr>
            </w:pPr>
            <w:r w:rsidRPr="00E41919">
              <w:rPr>
                <w:noProof/>
                <w:sz w:val="22"/>
                <w:szCs w:val="22"/>
              </w:rPr>
              <w:drawing>
                <wp:inline distT="0" distB="0" distL="0" distR="0">
                  <wp:extent cx="5303520" cy="3162300"/>
                  <wp:effectExtent l="19050" t="0" r="0" b="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3711D9" w:rsidRPr="0015043C" w:rsidRDefault="003711D9" w:rsidP="003711D9">
      <w:pPr>
        <w:jc w:val="both"/>
        <w:rPr>
          <w:szCs w:val="22"/>
        </w:rPr>
      </w:pPr>
      <w:r>
        <w:rPr>
          <w:rFonts w:ascii="Arial Narrow" w:hAnsi="Arial Narrow"/>
          <w:sz w:val="16"/>
          <w:szCs w:val="16"/>
        </w:rPr>
        <w:t>Π</w:t>
      </w:r>
      <w:r w:rsidRPr="0015043C">
        <w:rPr>
          <w:rFonts w:ascii="Arial Narrow" w:hAnsi="Arial Narrow"/>
          <w:sz w:val="16"/>
          <w:szCs w:val="16"/>
        </w:rPr>
        <w:t xml:space="preserve">ηγή:  </w:t>
      </w:r>
      <w:r>
        <w:rPr>
          <w:rFonts w:ascii="Arial Narrow" w:hAnsi="Arial Narrow"/>
          <w:sz w:val="16"/>
          <w:szCs w:val="16"/>
        </w:rPr>
        <w:t>ΟΔΔΗΧ</w:t>
      </w:r>
    </w:p>
    <w:p w:rsidR="003711D9" w:rsidRDefault="003711D9" w:rsidP="003711D9">
      <w:pPr>
        <w:jc w:val="both"/>
        <w:rPr>
          <w:sz w:val="22"/>
        </w:rPr>
      </w:pPr>
    </w:p>
    <w:p w:rsidR="003711D9" w:rsidRPr="0015043C" w:rsidRDefault="003711D9" w:rsidP="003711D9">
      <w:pPr>
        <w:jc w:val="both"/>
        <w:rPr>
          <w:sz w:val="22"/>
        </w:rPr>
      </w:pPr>
    </w:p>
    <w:p w:rsidR="003711D9" w:rsidRDefault="003711D9" w:rsidP="003711D9">
      <w:pPr>
        <w:jc w:val="both"/>
        <w:rPr>
          <w:sz w:val="22"/>
        </w:rPr>
      </w:pPr>
      <w:r w:rsidRPr="00510ABA">
        <w:rPr>
          <w:sz w:val="22"/>
        </w:rPr>
        <w:t xml:space="preserve">Η μέση υπολειπόμενη φυσική διάρκεια του χρέους της Κεντρικής Διοίκησης </w:t>
      </w:r>
      <w:r>
        <w:rPr>
          <w:sz w:val="22"/>
        </w:rPr>
        <w:t>ήταν 6,3 έτη το 2011, ενώ στις 30/9/2019 έχει υπερτριπλασιαστεί και διαμορφώθηκε στα 20,84 έτη</w:t>
      </w:r>
      <w:r>
        <w:rPr>
          <w:bCs/>
          <w:sz w:val="22"/>
        </w:rPr>
        <w:t xml:space="preserve"> </w:t>
      </w:r>
      <w:r w:rsidR="00455BC9">
        <w:rPr>
          <w:sz w:val="22"/>
        </w:rPr>
        <w:t>(π</w:t>
      </w:r>
      <w:r>
        <w:rPr>
          <w:sz w:val="22"/>
        </w:rPr>
        <w:t>ίνακας 4.5</w:t>
      </w:r>
      <w:r w:rsidRPr="00510ABA">
        <w:rPr>
          <w:sz w:val="22"/>
        </w:rPr>
        <w:t xml:space="preserve">). </w:t>
      </w:r>
    </w:p>
    <w:p w:rsidR="00CE71D2" w:rsidRPr="00510ABA" w:rsidRDefault="00CE71D2" w:rsidP="003711D9">
      <w:pPr>
        <w:jc w:val="both"/>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2"/>
        <w:gridCol w:w="1440"/>
        <w:gridCol w:w="1623"/>
        <w:gridCol w:w="1299"/>
      </w:tblGrid>
      <w:tr w:rsidR="006A4595" w:rsidRPr="0015043C" w:rsidTr="004B1E21">
        <w:trPr>
          <w:jc w:val="center"/>
        </w:trPr>
        <w:tc>
          <w:tcPr>
            <w:tcW w:w="6134" w:type="dxa"/>
            <w:gridSpan w:val="4"/>
            <w:tcBorders>
              <w:bottom w:val="nil"/>
            </w:tcBorders>
            <w:shd w:val="clear" w:color="auto" w:fill="404040" w:themeFill="text1" w:themeFillTint="BF"/>
            <w:tcMar>
              <w:left w:w="28" w:type="dxa"/>
              <w:right w:w="28" w:type="dxa"/>
            </w:tcMar>
          </w:tcPr>
          <w:p w:rsidR="006A4595" w:rsidRPr="0015043C" w:rsidRDefault="006A4595" w:rsidP="004B1E21">
            <w:pPr>
              <w:autoSpaceDE w:val="0"/>
              <w:autoSpaceDN w:val="0"/>
              <w:adjustRightInd w:val="0"/>
              <w:spacing w:before="120"/>
              <w:jc w:val="center"/>
              <w:rPr>
                <w:rFonts w:ascii="Arial Narrow" w:hAnsi="Arial Narrow" w:cs="TimesNewRoman,Bold+1"/>
                <w:b/>
                <w:bCs/>
                <w:color w:val="FFFFFF"/>
                <w:szCs w:val="22"/>
              </w:rPr>
            </w:pPr>
            <w:r w:rsidRPr="0015043C">
              <w:rPr>
                <w:rFonts w:ascii="Arial Narrow" w:hAnsi="Arial Narrow" w:cs="TimesNewRoman,Bold+1"/>
                <w:b/>
                <w:bCs/>
                <w:color w:val="FFFFFF"/>
                <w:szCs w:val="22"/>
              </w:rPr>
              <w:t xml:space="preserve">Πίνακας </w:t>
            </w:r>
            <w:r w:rsidRPr="00392857">
              <w:rPr>
                <w:rFonts w:ascii="Arial Narrow" w:hAnsi="Arial Narrow" w:cs="TimesNewRoman,Bold"/>
                <w:b/>
                <w:bCs/>
                <w:color w:val="FFFFFF"/>
                <w:szCs w:val="22"/>
              </w:rPr>
              <w:t>4</w:t>
            </w:r>
            <w:r>
              <w:rPr>
                <w:rFonts w:ascii="Arial Narrow" w:hAnsi="Arial Narrow" w:cs="TimesNewRoman,Bold"/>
                <w:b/>
                <w:bCs/>
                <w:color w:val="FFFFFF"/>
                <w:szCs w:val="22"/>
              </w:rPr>
              <w:t>.5</w:t>
            </w:r>
            <w:r w:rsidRPr="0015043C">
              <w:rPr>
                <w:rFonts w:ascii="Arial Narrow" w:hAnsi="Arial Narrow" w:cs="TimesNewRoman,Bold"/>
                <w:b/>
                <w:bCs/>
                <w:color w:val="FFFFFF"/>
                <w:szCs w:val="22"/>
              </w:rPr>
              <w:t xml:space="preserve">   </w:t>
            </w:r>
            <w:r w:rsidRPr="0015043C">
              <w:rPr>
                <w:rFonts w:ascii="Arial Narrow" w:hAnsi="Arial Narrow" w:cs="TimesNewRoman,Bold+1"/>
                <w:b/>
                <w:bCs/>
                <w:color w:val="FFFFFF"/>
                <w:szCs w:val="22"/>
              </w:rPr>
              <w:t>Μέση υπολειπόμενη φυσική</w:t>
            </w:r>
          </w:p>
          <w:p w:rsidR="006A4595" w:rsidRPr="0015043C" w:rsidRDefault="006A4595" w:rsidP="004B1E21">
            <w:pPr>
              <w:autoSpaceDE w:val="0"/>
              <w:autoSpaceDN w:val="0"/>
              <w:adjustRightInd w:val="0"/>
              <w:spacing w:after="120"/>
              <w:jc w:val="center"/>
              <w:rPr>
                <w:rFonts w:ascii="Arial Narrow" w:hAnsi="Arial Narrow" w:cs="TimesNewRoman,Bold"/>
                <w:b/>
                <w:bCs/>
                <w:color w:val="FFFFFF"/>
                <w:sz w:val="22"/>
                <w:szCs w:val="22"/>
              </w:rPr>
            </w:pPr>
            <w:r w:rsidRPr="0015043C">
              <w:rPr>
                <w:rFonts w:ascii="Arial Narrow" w:hAnsi="Arial Narrow" w:cs="TimesNewRoman,Bold+1"/>
                <w:b/>
                <w:bCs/>
                <w:color w:val="FFFFFF"/>
                <w:szCs w:val="22"/>
              </w:rPr>
              <w:t xml:space="preserve">διάρκεια χρέους Κεντρικής </w:t>
            </w:r>
            <w:r>
              <w:rPr>
                <w:rFonts w:ascii="Arial Narrow" w:hAnsi="Arial Narrow" w:cs="TimesNewRoman,Bold+1"/>
                <w:b/>
                <w:bCs/>
                <w:color w:val="FFFFFF"/>
                <w:szCs w:val="22"/>
              </w:rPr>
              <w:t>Διοίκησης</w:t>
            </w:r>
          </w:p>
        </w:tc>
      </w:tr>
      <w:tr w:rsidR="006A4595" w:rsidRPr="0015043C" w:rsidTr="004B1E21">
        <w:trPr>
          <w:jc w:val="center"/>
        </w:trPr>
        <w:tc>
          <w:tcPr>
            <w:tcW w:w="1772" w:type="dxa"/>
            <w:tcBorders>
              <w:top w:val="nil"/>
              <w:bottom w:val="single" w:sz="4" w:space="0" w:color="auto"/>
              <w:right w:val="nil"/>
            </w:tcBorders>
            <w:tcMar>
              <w:left w:w="28" w:type="dxa"/>
              <w:right w:w="28" w:type="dxa"/>
            </w:tcMar>
          </w:tcPr>
          <w:p w:rsidR="006A4595" w:rsidRPr="0015043C" w:rsidRDefault="006A4595" w:rsidP="004B1E21">
            <w:pPr>
              <w:autoSpaceDE w:val="0"/>
              <w:autoSpaceDN w:val="0"/>
              <w:adjustRightInd w:val="0"/>
              <w:jc w:val="center"/>
              <w:rPr>
                <w:rFonts w:ascii="Arial Narrow" w:hAnsi="Arial Narrow" w:cs="TimesNewRoman,Bold"/>
                <w:b/>
                <w:bCs/>
                <w:sz w:val="10"/>
                <w:szCs w:val="16"/>
              </w:rPr>
            </w:pPr>
          </w:p>
        </w:tc>
        <w:tc>
          <w:tcPr>
            <w:tcW w:w="4362" w:type="dxa"/>
            <w:gridSpan w:val="3"/>
            <w:tcBorders>
              <w:top w:val="nil"/>
              <w:left w:val="nil"/>
              <w:bottom w:val="single" w:sz="4" w:space="0" w:color="auto"/>
            </w:tcBorders>
          </w:tcPr>
          <w:p w:rsidR="006A4595" w:rsidRPr="0015043C" w:rsidRDefault="006A4595" w:rsidP="004B1E21">
            <w:pPr>
              <w:autoSpaceDE w:val="0"/>
              <w:autoSpaceDN w:val="0"/>
              <w:adjustRightInd w:val="0"/>
              <w:jc w:val="center"/>
              <w:rPr>
                <w:rFonts w:ascii="Arial Narrow" w:hAnsi="Arial Narrow" w:cs="TimesNewRoman,Bold"/>
                <w:b/>
                <w:bCs/>
                <w:sz w:val="10"/>
                <w:szCs w:val="16"/>
              </w:rPr>
            </w:pPr>
          </w:p>
        </w:tc>
      </w:tr>
      <w:tr w:rsidR="006A4595" w:rsidRPr="0015043C" w:rsidTr="004B1E21">
        <w:trPr>
          <w:jc w:val="center"/>
        </w:trPr>
        <w:tc>
          <w:tcPr>
            <w:tcW w:w="1772" w:type="dxa"/>
            <w:vMerge w:val="restart"/>
            <w:tcMar>
              <w:left w:w="28" w:type="dxa"/>
              <w:right w:w="28" w:type="dxa"/>
            </w:tcMar>
            <w:vAlign w:val="center"/>
          </w:tcPr>
          <w:p w:rsidR="006A4595" w:rsidRPr="0015043C" w:rsidRDefault="006A4595" w:rsidP="004B1E21">
            <w:pPr>
              <w:pStyle w:val="6"/>
            </w:pPr>
            <w:r w:rsidRPr="0015043C">
              <w:t>Ημερομηνία</w:t>
            </w:r>
          </w:p>
        </w:tc>
        <w:tc>
          <w:tcPr>
            <w:tcW w:w="4362" w:type="dxa"/>
            <w:gridSpan w:val="3"/>
            <w:tcBorders>
              <w:bottom w:val="single" w:sz="4" w:space="0" w:color="auto"/>
            </w:tcBorders>
          </w:tcPr>
          <w:p w:rsidR="006A4595" w:rsidRPr="0015043C" w:rsidRDefault="006A4595" w:rsidP="004B1E21">
            <w:pPr>
              <w:autoSpaceDE w:val="0"/>
              <w:autoSpaceDN w:val="0"/>
              <w:adjustRightInd w:val="0"/>
              <w:spacing w:before="120" w:after="120"/>
              <w:jc w:val="center"/>
              <w:rPr>
                <w:rFonts w:ascii="Arial Narrow" w:hAnsi="Arial Narrow" w:cs="TimesNewRoman,Bold"/>
                <w:b/>
                <w:bCs/>
                <w:sz w:val="16"/>
                <w:szCs w:val="16"/>
              </w:rPr>
            </w:pPr>
            <w:r w:rsidRPr="0015043C">
              <w:rPr>
                <w:rFonts w:ascii="Arial Narrow" w:hAnsi="Arial Narrow" w:cs="TimesNewRoman,Bold"/>
                <w:b/>
                <w:bCs/>
                <w:sz w:val="16"/>
                <w:szCs w:val="16"/>
              </w:rPr>
              <w:t xml:space="preserve">Μέση Διάρκεια σε έτη </w:t>
            </w:r>
          </w:p>
        </w:tc>
      </w:tr>
      <w:tr w:rsidR="006A4595" w:rsidRPr="0015043C" w:rsidTr="004B1E21">
        <w:trPr>
          <w:jc w:val="center"/>
        </w:trPr>
        <w:tc>
          <w:tcPr>
            <w:tcW w:w="1772" w:type="dxa"/>
            <w:vMerge/>
            <w:tcBorders>
              <w:bottom w:val="single" w:sz="4" w:space="0" w:color="auto"/>
            </w:tcBorders>
            <w:tcMar>
              <w:left w:w="28" w:type="dxa"/>
              <w:right w:w="28" w:type="dxa"/>
            </w:tcMar>
            <w:vAlign w:val="center"/>
          </w:tcPr>
          <w:p w:rsidR="006A4595" w:rsidRPr="0015043C" w:rsidRDefault="006A4595" w:rsidP="004B1E21">
            <w:pPr>
              <w:autoSpaceDE w:val="0"/>
              <w:autoSpaceDN w:val="0"/>
              <w:adjustRightInd w:val="0"/>
              <w:jc w:val="center"/>
              <w:rPr>
                <w:rFonts w:ascii="Arial Narrow" w:hAnsi="Arial Narrow" w:cs="TimesNewRoman,Bold"/>
                <w:b/>
                <w:bCs/>
                <w:sz w:val="16"/>
                <w:szCs w:val="16"/>
              </w:rPr>
            </w:pPr>
          </w:p>
        </w:tc>
        <w:tc>
          <w:tcPr>
            <w:tcW w:w="1440" w:type="dxa"/>
            <w:tcBorders>
              <w:bottom w:val="single" w:sz="4" w:space="0" w:color="auto"/>
              <w:right w:val="nil"/>
            </w:tcBorders>
            <w:vAlign w:val="center"/>
          </w:tcPr>
          <w:p w:rsidR="006A4595" w:rsidRPr="0015043C" w:rsidRDefault="006A4595" w:rsidP="004B1E21">
            <w:pPr>
              <w:autoSpaceDE w:val="0"/>
              <w:autoSpaceDN w:val="0"/>
              <w:adjustRightInd w:val="0"/>
              <w:jc w:val="center"/>
              <w:rPr>
                <w:rFonts w:ascii="Arial Narrow" w:hAnsi="Arial Narrow" w:cs="TimesNewRoman,Bold"/>
                <w:b/>
                <w:bCs/>
                <w:sz w:val="16"/>
                <w:szCs w:val="16"/>
              </w:rPr>
            </w:pPr>
            <w:r w:rsidRPr="0015043C">
              <w:rPr>
                <w:rFonts w:ascii="Arial Narrow" w:hAnsi="Arial Narrow" w:cs="TimesNewRoman,Bold"/>
                <w:b/>
                <w:bCs/>
                <w:sz w:val="16"/>
                <w:szCs w:val="16"/>
              </w:rPr>
              <w:t>Χρέος σε ευρώ</w:t>
            </w:r>
          </w:p>
        </w:tc>
        <w:tc>
          <w:tcPr>
            <w:tcW w:w="1623" w:type="dxa"/>
            <w:tcBorders>
              <w:left w:val="nil"/>
              <w:bottom w:val="single" w:sz="4" w:space="0" w:color="auto"/>
              <w:right w:val="nil"/>
            </w:tcBorders>
            <w:vAlign w:val="center"/>
          </w:tcPr>
          <w:p w:rsidR="006A4595" w:rsidRPr="0015043C" w:rsidRDefault="006A4595" w:rsidP="004B1E21">
            <w:pPr>
              <w:autoSpaceDE w:val="0"/>
              <w:autoSpaceDN w:val="0"/>
              <w:adjustRightInd w:val="0"/>
              <w:jc w:val="center"/>
              <w:rPr>
                <w:rFonts w:ascii="Arial Narrow" w:hAnsi="Arial Narrow" w:cs="TimesNewRoman,Bold"/>
                <w:b/>
                <w:bCs/>
                <w:sz w:val="16"/>
                <w:szCs w:val="16"/>
              </w:rPr>
            </w:pPr>
            <w:r w:rsidRPr="0015043C">
              <w:rPr>
                <w:rFonts w:ascii="Arial Narrow" w:hAnsi="Arial Narrow" w:cs="TimesNewRoman,Bold"/>
                <w:b/>
                <w:bCs/>
                <w:sz w:val="16"/>
                <w:szCs w:val="16"/>
              </w:rPr>
              <w:t>Χρέος εκτός ζώνης ευρώ</w:t>
            </w:r>
          </w:p>
        </w:tc>
        <w:tc>
          <w:tcPr>
            <w:tcW w:w="1299" w:type="dxa"/>
            <w:tcBorders>
              <w:left w:val="nil"/>
              <w:bottom w:val="single" w:sz="4" w:space="0" w:color="auto"/>
            </w:tcBorders>
            <w:vAlign w:val="center"/>
          </w:tcPr>
          <w:p w:rsidR="006A4595" w:rsidRPr="0015043C" w:rsidRDefault="006A4595" w:rsidP="004B1E21">
            <w:pPr>
              <w:autoSpaceDE w:val="0"/>
              <w:autoSpaceDN w:val="0"/>
              <w:adjustRightInd w:val="0"/>
              <w:jc w:val="center"/>
              <w:rPr>
                <w:rFonts w:ascii="Arial Narrow" w:hAnsi="Arial Narrow" w:cs="TimesNewRoman,Bold"/>
                <w:b/>
                <w:bCs/>
                <w:sz w:val="16"/>
                <w:szCs w:val="16"/>
              </w:rPr>
            </w:pPr>
            <w:r w:rsidRPr="0015043C">
              <w:rPr>
                <w:rFonts w:ascii="Arial Narrow" w:hAnsi="Arial Narrow" w:cs="TimesNewRoman,Bold"/>
                <w:b/>
                <w:bCs/>
                <w:sz w:val="16"/>
                <w:szCs w:val="16"/>
              </w:rPr>
              <w:t>Συνολικό χρέος</w:t>
            </w:r>
          </w:p>
        </w:tc>
      </w:tr>
      <w:tr w:rsidR="006A4595" w:rsidRPr="0015043C" w:rsidTr="004B1E21">
        <w:trPr>
          <w:jc w:val="center"/>
        </w:trPr>
        <w:tc>
          <w:tcPr>
            <w:tcW w:w="1772" w:type="dxa"/>
            <w:tcBorders>
              <w:top w:val="nil"/>
              <w:bottom w:val="nil"/>
              <w:right w:val="nil"/>
            </w:tcBorders>
            <w:shd w:val="clear" w:color="auto" w:fill="auto"/>
            <w:tcMar>
              <w:left w:w="28" w:type="dxa"/>
              <w:right w:w="28" w:type="dxa"/>
            </w:tcMar>
          </w:tcPr>
          <w:p w:rsidR="006A4595" w:rsidRPr="000D2557" w:rsidRDefault="006A4595" w:rsidP="004B1E21">
            <w:pPr>
              <w:autoSpaceDE w:val="0"/>
              <w:autoSpaceDN w:val="0"/>
              <w:adjustRightInd w:val="0"/>
              <w:spacing w:before="120" w:after="120"/>
              <w:ind w:firstLine="540"/>
              <w:rPr>
                <w:rFonts w:ascii="Arial Narrow" w:hAnsi="Arial Narrow" w:cs="TimesNewRoman,Bold"/>
                <w:bCs/>
                <w:sz w:val="16"/>
                <w:szCs w:val="16"/>
              </w:rPr>
            </w:pPr>
            <w:r w:rsidRPr="0015043C">
              <w:rPr>
                <w:rFonts w:ascii="Arial Narrow" w:hAnsi="Arial Narrow" w:cs="TimesNewRoman,Bold"/>
                <w:bCs/>
                <w:sz w:val="16"/>
                <w:szCs w:val="16"/>
              </w:rPr>
              <w:t>3</w:t>
            </w:r>
            <w:r w:rsidRPr="000D2557">
              <w:rPr>
                <w:rFonts w:ascii="Arial Narrow" w:hAnsi="Arial Narrow" w:cs="TimesNewRoman,Bold"/>
                <w:bCs/>
                <w:sz w:val="16"/>
                <w:szCs w:val="16"/>
              </w:rPr>
              <w:t>1/12</w:t>
            </w:r>
            <w:r>
              <w:rPr>
                <w:rFonts w:ascii="Arial Narrow" w:hAnsi="Arial Narrow" w:cs="TimesNewRoman,Bold"/>
                <w:bCs/>
                <w:sz w:val="16"/>
                <w:szCs w:val="16"/>
              </w:rPr>
              <w:t>/20</w:t>
            </w:r>
            <w:r w:rsidRPr="000D2557">
              <w:rPr>
                <w:rFonts w:ascii="Arial Narrow" w:hAnsi="Arial Narrow" w:cs="TimesNewRoman,Bold"/>
                <w:bCs/>
                <w:sz w:val="16"/>
                <w:szCs w:val="16"/>
              </w:rPr>
              <w:t>11</w:t>
            </w:r>
          </w:p>
        </w:tc>
        <w:tc>
          <w:tcPr>
            <w:tcW w:w="1440"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6,28</w:t>
            </w:r>
          </w:p>
        </w:tc>
        <w:tc>
          <w:tcPr>
            <w:tcW w:w="1623"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3,21</w:t>
            </w:r>
          </w:p>
        </w:tc>
        <w:tc>
          <w:tcPr>
            <w:tcW w:w="1299" w:type="dxa"/>
            <w:tcBorders>
              <w:top w:val="nil"/>
              <w:left w:val="nil"/>
              <w:bottom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6,30</w:t>
            </w:r>
          </w:p>
        </w:tc>
      </w:tr>
      <w:tr w:rsidR="006A4595" w:rsidRPr="0015043C" w:rsidTr="004B1E21">
        <w:trPr>
          <w:jc w:val="center"/>
        </w:trPr>
        <w:tc>
          <w:tcPr>
            <w:tcW w:w="1772" w:type="dxa"/>
            <w:tcBorders>
              <w:top w:val="nil"/>
              <w:bottom w:val="nil"/>
              <w:right w:val="nil"/>
            </w:tcBorders>
            <w:shd w:val="clear" w:color="auto" w:fill="auto"/>
            <w:tcMar>
              <w:left w:w="28" w:type="dxa"/>
              <w:right w:w="28" w:type="dxa"/>
            </w:tcMar>
          </w:tcPr>
          <w:p w:rsidR="006A4595" w:rsidRPr="00DB5197" w:rsidRDefault="006A4595" w:rsidP="004B1E21">
            <w:pPr>
              <w:autoSpaceDE w:val="0"/>
              <w:autoSpaceDN w:val="0"/>
              <w:adjustRightInd w:val="0"/>
              <w:spacing w:before="120" w:after="120"/>
              <w:ind w:firstLine="540"/>
              <w:rPr>
                <w:rFonts w:ascii="Arial Narrow" w:hAnsi="Arial Narrow" w:cs="TimesNewRoman,Bold"/>
                <w:bCs/>
                <w:sz w:val="16"/>
                <w:szCs w:val="16"/>
                <w:lang w:val="en-GB"/>
              </w:rPr>
            </w:pPr>
            <w:r w:rsidRPr="000D2557">
              <w:rPr>
                <w:rFonts w:ascii="Arial Narrow" w:hAnsi="Arial Narrow" w:cs="TimesNewRoman,Bold"/>
                <w:bCs/>
                <w:sz w:val="16"/>
                <w:szCs w:val="16"/>
              </w:rPr>
              <w:t>3</w:t>
            </w:r>
            <w:r>
              <w:rPr>
                <w:rFonts w:ascii="Arial Narrow" w:hAnsi="Arial Narrow" w:cs="TimesNewRoman,Bold"/>
                <w:bCs/>
                <w:sz w:val="16"/>
                <w:szCs w:val="16"/>
              </w:rPr>
              <w:t>1</w:t>
            </w:r>
            <w:r w:rsidRPr="000D2557">
              <w:rPr>
                <w:rFonts w:ascii="Arial Narrow" w:hAnsi="Arial Narrow" w:cs="TimesNewRoman,Bold"/>
                <w:bCs/>
                <w:sz w:val="16"/>
                <w:szCs w:val="16"/>
              </w:rPr>
              <w:t>/</w:t>
            </w:r>
            <w:r>
              <w:rPr>
                <w:rFonts w:ascii="Arial Narrow" w:hAnsi="Arial Narrow" w:cs="TimesNewRoman,Bold"/>
                <w:bCs/>
                <w:sz w:val="16"/>
                <w:szCs w:val="16"/>
              </w:rPr>
              <w:t>12</w:t>
            </w:r>
            <w:r w:rsidRPr="000D2557">
              <w:rPr>
                <w:rFonts w:ascii="Arial Narrow" w:hAnsi="Arial Narrow" w:cs="TimesNewRoman,Bold"/>
                <w:bCs/>
                <w:sz w:val="16"/>
                <w:szCs w:val="16"/>
              </w:rPr>
              <w:t>/20</w:t>
            </w:r>
            <w:r>
              <w:rPr>
                <w:rFonts w:ascii="Arial Narrow" w:hAnsi="Arial Narrow" w:cs="TimesNewRoman,Bold"/>
                <w:bCs/>
                <w:sz w:val="16"/>
                <w:szCs w:val="16"/>
                <w:lang w:val="en-GB"/>
              </w:rPr>
              <w:t>12</w:t>
            </w:r>
          </w:p>
        </w:tc>
        <w:tc>
          <w:tcPr>
            <w:tcW w:w="1440"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15,72</w:t>
            </w:r>
          </w:p>
        </w:tc>
        <w:tc>
          <w:tcPr>
            <w:tcW w:w="1623"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2,36</w:t>
            </w:r>
          </w:p>
        </w:tc>
        <w:tc>
          <w:tcPr>
            <w:tcW w:w="1299" w:type="dxa"/>
            <w:tcBorders>
              <w:top w:val="nil"/>
              <w:left w:val="nil"/>
              <w:bottom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15,29</w:t>
            </w:r>
          </w:p>
        </w:tc>
      </w:tr>
      <w:tr w:rsidR="006A4595" w:rsidRPr="0015043C" w:rsidTr="004B1E21">
        <w:trPr>
          <w:jc w:val="center"/>
        </w:trPr>
        <w:tc>
          <w:tcPr>
            <w:tcW w:w="1772" w:type="dxa"/>
            <w:tcBorders>
              <w:top w:val="nil"/>
              <w:bottom w:val="nil"/>
              <w:right w:val="nil"/>
            </w:tcBorders>
            <w:shd w:val="clear" w:color="auto" w:fill="auto"/>
            <w:tcMar>
              <w:left w:w="28" w:type="dxa"/>
              <w:right w:w="28" w:type="dxa"/>
            </w:tcMar>
          </w:tcPr>
          <w:p w:rsidR="006A4595" w:rsidRPr="00DF40E8" w:rsidRDefault="006A4595" w:rsidP="004B1E21">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31/12/2013</w:t>
            </w:r>
          </w:p>
        </w:tc>
        <w:tc>
          <w:tcPr>
            <w:tcW w:w="1440"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16,54</w:t>
            </w:r>
          </w:p>
        </w:tc>
        <w:tc>
          <w:tcPr>
            <w:tcW w:w="1623"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3,76</w:t>
            </w:r>
          </w:p>
        </w:tc>
        <w:tc>
          <w:tcPr>
            <w:tcW w:w="1299" w:type="dxa"/>
            <w:tcBorders>
              <w:top w:val="nil"/>
              <w:left w:val="nil"/>
              <w:bottom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16,02</w:t>
            </w:r>
          </w:p>
        </w:tc>
      </w:tr>
      <w:tr w:rsidR="006A4595" w:rsidRPr="0015043C" w:rsidTr="004B1E21">
        <w:trPr>
          <w:jc w:val="center"/>
        </w:trPr>
        <w:tc>
          <w:tcPr>
            <w:tcW w:w="1772" w:type="dxa"/>
            <w:tcBorders>
              <w:top w:val="nil"/>
              <w:bottom w:val="nil"/>
              <w:right w:val="nil"/>
            </w:tcBorders>
            <w:shd w:val="clear" w:color="auto" w:fill="auto"/>
            <w:tcMar>
              <w:left w:w="28" w:type="dxa"/>
              <w:right w:w="28" w:type="dxa"/>
            </w:tcMar>
          </w:tcPr>
          <w:p w:rsidR="006A4595" w:rsidRPr="00DF40E8" w:rsidRDefault="006A4595" w:rsidP="004B1E21">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31/12/2014</w:t>
            </w:r>
          </w:p>
        </w:tc>
        <w:tc>
          <w:tcPr>
            <w:tcW w:w="1440"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16,70</w:t>
            </w:r>
          </w:p>
        </w:tc>
        <w:tc>
          <w:tcPr>
            <w:tcW w:w="1623"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4,20</w:t>
            </w:r>
          </w:p>
        </w:tc>
        <w:tc>
          <w:tcPr>
            <w:tcW w:w="1299" w:type="dxa"/>
            <w:tcBorders>
              <w:top w:val="nil"/>
              <w:left w:val="nil"/>
              <w:bottom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16,16</w:t>
            </w:r>
          </w:p>
        </w:tc>
      </w:tr>
      <w:tr w:rsidR="006A4595" w:rsidRPr="0015043C" w:rsidTr="004B1E21">
        <w:trPr>
          <w:jc w:val="center"/>
        </w:trPr>
        <w:tc>
          <w:tcPr>
            <w:tcW w:w="1772" w:type="dxa"/>
            <w:tcBorders>
              <w:top w:val="nil"/>
              <w:bottom w:val="nil"/>
              <w:right w:val="nil"/>
            </w:tcBorders>
            <w:shd w:val="clear" w:color="auto" w:fill="auto"/>
            <w:tcMar>
              <w:left w:w="28" w:type="dxa"/>
              <w:right w:w="28" w:type="dxa"/>
            </w:tcMar>
          </w:tcPr>
          <w:p w:rsidR="006A4595" w:rsidRPr="00DF40E8" w:rsidRDefault="006A4595" w:rsidP="004B1E21">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31/12/2015</w:t>
            </w:r>
          </w:p>
        </w:tc>
        <w:tc>
          <w:tcPr>
            <w:tcW w:w="1440"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17,21</w:t>
            </w:r>
          </w:p>
        </w:tc>
        <w:tc>
          <w:tcPr>
            <w:tcW w:w="1623"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4,28</w:t>
            </w:r>
          </w:p>
        </w:tc>
        <w:tc>
          <w:tcPr>
            <w:tcW w:w="1299" w:type="dxa"/>
            <w:tcBorders>
              <w:top w:val="nil"/>
              <w:left w:val="nil"/>
              <w:bottom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16,76</w:t>
            </w:r>
          </w:p>
        </w:tc>
      </w:tr>
      <w:tr w:rsidR="006A4595" w:rsidRPr="0015043C" w:rsidTr="004B1E21">
        <w:trPr>
          <w:jc w:val="center"/>
        </w:trPr>
        <w:tc>
          <w:tcPr>
            <w:tcW w:w="1772" w:type="dxa"/>
            <w:tcBorders>
              <w:top w:val="nil"/>
              <w:bottom w:val="nil"/>
              <w:right w:val="nil"/>
            </w:tcBorders>
            <w:shd w:val="clear" w:color="auto" w:fill="auto"/>
            <w:tcMar>
              <w:left w:w="28" w:type="dxa"/>
              <w:right w:w="28" w:type="dxa"/>
            </w:tcMar>
          </w:tcPr>
          <w:p w:rsidR="006A4595" w:rsidRDefault="006A4595" w:rsidP="004B1E21">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31/12/2016</w:t>
            </w:r>
          </w:p>
        </w:tc>
        <w:tc>
          <w:tcPr>
            <w:tcW w:w="1440"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17,00</w:t>
            </w:r>
          </w:p>
        </w:tc>
        <w:tc>
          <w:tcPr>
            <w:tcW w:w="1623"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3,73</w:t>
            </w:r>
          </w:p>
        </w:tc>
        <w:tc>
          <w:tcPr>
            <w:tcW w:w="1299" w:type="dxa"/>
            <w:tcBorders>
              <w:top w:val="nil"/>
              <w:left w:val="nil"/>
              <w:bottom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16,60</w:t>
            </w:r>
          </w:p>
        </w:tc>
      </w:tr>
      <w:tr w:rsidR="006A4595" w:rsidRPr="0015043C" w:rsidTr="004B1E21">
        <w:trPr>
          <w:jc w:val="center"/>
        </w:trPr>
        <w:tc>
          <w:tcPr>
            <w:tcW w:w="1772" w:type="dxa"/>
            <w:tcBorders>
              <w:top w:val="nil"/>
              <w:bottom w:val="nil"/>
              <w:right w:val="nil"/>
            </w:tcBorders>
            <w:shd w:val="clear" w:color="auto" w:fill="auto"/>
            <w:tcMar>
              <w:left w:w="28" w:type="dxa"/>
              <w:right w:w="28" w:type="dxa"/>
            </w:tcMar>
          </w:tcPr>
          <w:p w:rsidR="006A4595" w:rsidRDefault="006A4595" w:rsidP="004B1E21">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31/12/2017</w:t>
            </w:r>
          </w:p>
        </w:tc>
        <w:tc>
          <w:tcPr>
            <w:tcW w:w="1440"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18,74</w:t>
            </w:r>
          </w:p>
        </w:tc>
        <w:tc>
          <w:tcPr>
            <w:tcW w:w="1623"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3,01</w:t>
            </w:r>
          </w:p>
        </w:tc>
        <w:tc>
          <w:tcPr>
            <w:tcW w:w="1299" w:type="dxa"/>
            <w:tcBorders>
              <w:top w:val="nil"/>
              <w:left w:val="nil"/>
              <w:bottom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18,32</w:t>
            </w:r>
          </w:p>
        </w:tc>
      </w:tr>
      <w:tr w:rsidR="006A4595" w:rsidRPr="0015043C" w:rsidTr="006A4595">
        <w:trPr>
          <w:jc w:val="center"/>
        </w:trPr>
        <w:tc>
          <w:tcPr>
            <w:tcW w:w="1772" w:type="dxa"/>
            <w:tcBorders>
              <w:top w:val="nil"/>
              <w:bottom w:val="nil"/>
              <w:right w:val="nil"/>
            </w:tcBorders>
            <w:shd w:val="clear" w:color="auto" w:fill="auto"/>
            <w:tcMar>
              <w:left w:w="28" w:type="dxa"/>
              <w:right w:w="28" w:type="dxa"/>
            </w:tcMar>
          </w:tcPr>
          <w:p w:rsidR="006A4595" w:rsidRDefault="006A4595" w:rsidP="004B1E21">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31/12/2018</w:t>
            </w:r>
          </w:p>
        </w:tc>
        <w:tc>
          <w:tcPr>
            <w:tcW w:w="1440" w:type="dxa"/>
            <w:tcBorders>
              <w:top w:val="nil"/>
              <w:left w:val="nil"/>
              <w:bottom w:val="nil"/>
              <w:right w:val="nil"/>
            </w:tcBorders>
            <w:shd w:val="clear" w:color="auto" w:fill="auto"/>
            <w:vAlign w:val="center"/>
          </w:tcPr>
          <w:p w:rsidR="006A4595" w:rsidRDefault="006A4595" w:rsidP="006A4595">
            <w:pPr>
              <w:ind w:right="397"/>
              <w:jc w:val="right"/>
              <w:rPr>
                <w:rFonts w:ascii="Arial Narrow" w:hAnsi="Arial Narrow" w:cs="Arial"/>
                <w:sz w:val="16"/>
                <w:szCs w:val="16"/>
              </w:rPr>
            </w:pPr>
            <w:r>
              <w:rPr>
                <w:rFonts w:ascii="Arial Narrow" w:hAnsi="Arial Narrow" w:cs="Arial"/>
                <w:sz w:val="16"/>
                <w:szCs w:val="16"/>
              </w:rPr>
              <w:t>18,50</w:t>
            </w:r>
          </w:p>
        </w:tc>
        <w:tc>
          <w:tcPr>
            <w:tcW w:w="1623" w:type="dxa"/>
            <w:tcBorders>
              <w:top w:val="nil"/>
              <w:left w:val="nil"/>
              <w:bottom w:val="nil"/>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2,46</w:t>
            </w:r>
          </w:p>
        </w:tc>
        <w:tc>
          <w:tcPr>
            <w:tcW w:w="1299" w:type="dxa"/>
            <w:tcBorders>
              <w:top w:val="nil"/>
              <w:left w:val="nil"/>
              <w:bottom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18,17</w:t>
            </w:r>
          </w:p>
        </w:tc>
      </w:tr>
      <w:tr w:rsidR="006A4595" w:rsidRPr="0015043C" w:rsidTr="004B1E21">
        <w:trPr>
          <w:jc w:val="center"/>
        </w:trPr>
        <w:tc>
          <w:tcPr>
            <w:tcW w:w="1772" w:type="dxa"/>
            <w:tcBorders>
              <w:top w:val="nil"/>
              <w:bottom w:val="single" w:sz="4" w:space="0" w:color="auto"/>
              <w:right w:val="nil"/>
            </w:tcBorders>
            <w:shd w:val="clear" w:color="auto" w:fill="auto"/>
            <w:tcMar>
              <w:left w:w="28" w:type="dxa"/>
              <w:right w:w="28" w:type="dxa"/>
            </w:tcMar>
          </w:tcPr>
          <w:p w:rsidR="006A4595" w:rsidRDefault="006A4595" w:rsidP="004B1E21">
            <w:pPr>
              <w:autoSpaceDE w:val="0"/>
              <w:autoSpaceDN w:val="0"/>
              <w:adjustRightInd w:val="0"/>
              <w:spacing w:before="120" w:after="120"/>
              <w:ind w:firstLine="540"/>
              <w:rPr>
                <w:rFonts w:ascii="Arial Narrow" w:hAnsi="Arial Narrow" w:cs="TimesNewRoman,Bold"/>
                <w:bCs/>
                <w:sz w:val="16"/>
                <w:szCs w:val="16"/>
              </w:rPr>
            </w:pPr>
            <w:r>
              <w:rPr>
                <w:rFonts w:ascii="Arial Narrow" w:hAnsi="Arial Narrow" w:cs="TimesNewRoman,Bold"/>
                <w:bCs/>
                <w:sz w:val="16"/>
                <w:szCs w:val="16"/>
              </w:rPr>
              <w:t>30/09/2019</w:t>
            </w:r>
          </w:p>
        </w:tc>
        <w:tc>
          <w:tcPr>
            <w:tcW w:w="1440" w:type="dxa"/>
            <w:tcBorders>
              <w:top w:val="nil"/>
              <w:left w:val="nil"/>
              <w:bottom w:val="single" w:sz="4" w:space="0" w:color="auto"/>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21,18</w:t>
            </w:r>
          </w:p>
        </w:tc>
        <w:tc>
          <w:tcPr>
            <w:tcW w:w="1623" w:type="dxa"/>
            <w:tcBorders>
              <w:top w:val="nil"/>
              <w:left w:val="nil"/>
              <w:bottom w:val="single" w:sz="4" w:space="0" w:color="auto"/>
              <w:right w:val="nil"/>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2,1</w:t>
            </w:r>
            <w:r w:rsidR="006D3771">
              <w:rPr>
                <w:rFonts w:ascii="Arial Narrow" w:hAnsi="Arial Narrow" w:cs="Arial"/>
                <w:sz w:val="16"/>
                <w:szCs w:val="16"/>
              </w:rPr>
              <w:t>0</w:t>
            </w:r>
          </w:p>
        </w:tc>
        <w:tc>
          <w:tcPr>
            <w:tcW w:w="1299" w:type="dxa"/>
            <w:tcBorders>
              <w:top w:val="nil"/>
              <w:left w:val="nil"/>
              <w:bottom w:val="single" w:sz="4" w:space="0" w:color="auto"/>
            </w:tcBorders>
            <w:shd w:val="clear" w:color="auto" w:fill="auto"/>
            <w:vAlign w:val="center"/>
          </w:tcPr>
          <w:p w:rsidR="006A4595" w:rsidRDefault="006A4595" w:rsidP="004B1E21">
            <w:pPr>
              <w:ind w:right="397"/>
              <w:jc w:val="right"/>
              <w:rPr>
                <w:rFonts w:ascii="Arial Narrow" w:hAnsi="Arial Narrow" w:cs="Arial"/>
                <w:sz w:val="16"/>
                <w:szCs w:val="16"/>
              </w:rPr>
            </w:pPr>
            <w:r>
              <w:rPr>
                <w:rFonts w:ascii="Arial Narrow" w:hAnsi="Arial Narrow" w:cs="Arial"/>
                <w:sz w:val="16"/>
                <w:szCs w:val="16"/>
              </w:rPr>
              <w:t>20,84</w:t>
            </w:r>
          </w:p>
        </w:tc>
      </w:tr>
    </w:tbl>
    <w:p w:rsidR="006A4595" w:rsidRPr="0015043C" w:rsidRDefault="006A4595" w:rsidP="006A4595">
      <w:pPr>
        <w:ind w:firstLine="1440"/>
        <w:jc w:val="both"/>
        <w:rPr>
          <w:sz w:val="22"/>
          <w:szCs w:val="22"/>
        </w:rPr>
      </w:pPr>
      <w:r w:rsidRPr="0015043C">
        <w:rPr>
          <w:rFonts w:ascii="Arial Narrow" w:hAnsi="Arial Narrow"/>
          <w:sz w:val="16"/>
          <w:szCs w:val="16"/>
        </w:rPr>
        <w:t xml:space="preserve">Πηγή:  </w:t>
      </w:r>
      <w:r>
        <w:rPr>
          <w:rFonts w:ascii="Arial Narrow" w:hAnsi="Arial Narrow"/>
          <w:sz w:val="16"/>
          <w:szCs w:val="16"/>
        </w:rPr>
        <w:t>ΟΔΔΗΧ</w:t>
      </w:r>
    </w:p>
    <w:p w:rsidR="0003141E" w:rsidRDefault="0003141E">
      <w:pPr>
        <w:rPr>
          <w:rFonts w:ascii="Arial Narrow" w:hAnsi="Arial Narrow"/>
          <w:b/>
          <w:color w:val="FFFFFF"/>
          <w:sz w:val="26"/>
          <w:szCs w:val="26"/>
        </w:rPr>
      </w:pPr>
    </w:p>
    <w:p w:rsidR="0003141E" w:rsidRDefault="0003141E">
      <w:pPr>
        <w:rPr>
          <w:rFonts w:ascii="Arial Narrow" w:hAnsi="Arial Narrow"/>
          <w:b/>
          <w:color w:val="FFFFFF"/>
          <w:sz w:val="26"/>
          <w:szCs w:val="26"/>
        </w:rPr>
      </w:pPr>
    </w:p>
    <w:p w:rsidR="0003141E" w:rsidRPr="00B01F1E" w:rsidRDefault="0003141E" w:rsidP="0003141E">
      <w:pPr>
        <w:jc w:val="both"/>
        <w:rPr>
          <w:sz w:val="22"/>
          <w:szCs w:val="22"/>
        </w:rPr>
      </w:pPr>
      <w:r>
        <w:rPr>
          <w:sz w:val="22"/>
          <w:szCs w:val="22"/>
        </w:rPr>
        <w:t>Στις 30/09/2019</w:t>
      </w:r>
      <w:r w:rsidRPr="00B01F1E">
        <w:rPr>
          <w:sz w:val="22"/>
          <w:szCs w:val="22"/>
        </w:rPr>
        <w:t xml:space="preserve">, ποσοστό </w:t>
      </w:r>
      <w:r>
        <w:rPr>
          <w:sz w:val="22"/>
          <w:szCs w:val="22"/>
        </w:rPr>
        <w:t>77,6</w:t>
      </w:r>
      <w:r w:rsidRPr="00B01F1E">
        <w:rPr>
          <w:sz w:val="22"/>
          <w:szCs w:val="22"/>
        </w:rPr>
        <w:t xml:space="preserve">% του χρέους </w:t>
      </w:r>
      <w:r>
        <w:rPr>
          <w:sz w:val="22"/>
          <w:szCs w:val="22"/>
        </w:rPr>
        <w:t xml:space="preserve">της </w:t>
      </w:r>
      <w:r w:rsidRPr="00B01F1E">
        <w:rPr>
          <w:sz w:val="22"/>
          <w:szCs w:val="22"/>
        </w:rPr>
        <w:t xml:space="preserve">Κεντρικής Διοίκησης είχε υπολειπόμενη φυσική διάρκεια μεγαλύτερη των </w:t>
      </w:r>
      <w:r>
        <w:rPr>
          <w:sz w:val="22"/>
          <w:szCs w:val="22"/>
        </w:rPr>
        <w:t>πέντε</w:t>
      </w:r>
      <w:r w:rsidRPr="00B01F1E">
        <w:rPr>
          <w:sz w:val="22"/>
          <w:szCs w:val="22"/>
        </w:rPr>
        <w:t xml:space="preserve"> ετών, λόγω της επιμήκυνσης των δανείων του Μηχανισμού Στήριξης και της έκδοσης νέων ομολόγων του Ελληνικού Δημοσίου στο πλαίσιο της ανταλλαγής ομολόγων (</w:t>
      </w:r>
      <w:r w:rsidRPr="00B01F1E">
        <w:rPr>
          <w:sz w:val="22"/>
          <w:szCs w:val="22"/>
          <w:lang w:val="en-US"/>
        </w:rPr>
        <w:t>PSI</w:t>
      </w:r>
      <w:r>
        <w:rPr>
          <w:sz w:val="22"/>
          <w:szCs w:val="22"/>
        </w:rPr>
        <w:t>) (π</w:t>
      </w:r>
      <w:r w:rsidRPr="00B01F1E">
        <w:rPr>
          <w:sz w:val="22"/>
          <w:szCs w:val="22"/>
        </w:rPr>
        <w:t>ί</w:t>
      </w:r>
      <w:r>
        <w:rPr>
          <w:sz w:val="22"/>
          <w:szCs w:val="22"/>
        </w:rPr>
        <w:t>νακας 4.6</w:t>
      </w:r>
      <w:r w:rsidRPr="00B01F1E">
        <w:rPr>
          <w:sz w:val="22"/>
          <w:szCs w:val="22"/>
        </w:rPr>
        <w:t>).</w:t>
      </w:r>
    </w:p>
    <w:p w:rsidR="0003141E" w:rsidRDefault="0003141E" w:rsidP="0003141E">
      <w:pPr>
        <w:jc w:val="both"/>
        <w:rPr>
          <w:sz w:val="22"/>
          <w:szCs w:val="22"/>
        </w:rPr>
      </w:pPr>
    </w:p>
    <w:p w:rsidR="0003141E" w:rsidRDefault="0003141E" w:rsidP="0003141E">
      <w:pPr>
        <w:jc w:val="both"/>
        <w:rPr>
          <w:sz w:val="22"/>
          <w:szCs w:val="22"/>
        </w:rPr>
      </w:pPr>
    </w:p>
    <w:p w:rsidR="0003141E" w:rsidRPr="00B01F1E" w:rsidRDefault="0003141E" w:rsidP="0003141E">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3101"/>
      </w:tblGrid>
      <w:tr w:rsidR="0003141E" w:rsidRPr="0015043C" w:rsidTr="004B1E21">
        <w:trPr>
          <w:trHeight w:val="557"/>
          <w:jc w:val="center"/>
        </w:trPr>
        <w:tc>
          <w:tcPr>
            <w:tcW w:w="6078" w:type="dxa"/>
            <w:gridSpan w:val="2"/>
            <w:tcBorders>
              <w:bottom w:val="nil"/>
            </w:tcBorders>
            <w:shd w:val="clear" w:color="auto" w:fill="404040" w:themeFill="text1" w:themeFillTint="BF"/>
            <w:tcMar>
              <w:left w:w="28" w:type="dxa"/>
              <w:right w:w="28" w:type="dxa"/>
            </w:tcMar>
          </w:tcPr>
          <w:p w:rsidR="0003141E" w:rsidRPr="0015043C" w:rsidRDefault="0003141E" w:rsidP="004B1E21">
            <w:pPr>
              <w:autoSpaceDE w:val="0"/>
              <w:autoSpaceDN w:val="0"/>
              <w:adjustRightInd w:val="0"/>
              <w:spacing w:before="120"/>
              <w:jc w:val="center"/>
              <w:rPr>
                <w:rFonts w:ascii="Arial Narrow" w:hAnsi="Arial Narrow" w:cs="TimesNewRoman,Bold+1"/>
                <w:b/>
                <w:bCs/>
                <w:color w:val="FFFFFF"/>
                <w:szCs w:val="22"/>
              </w:rPr>
            </w:pPr>
            <w:r w:rsidRPr="0015043C">
              <w:rPr>
                <w:rFonts w:ascii="Arial Narrow" w:hAnsi="Arial Narrow" w:cs="TimesNewRoman,Bold+1"/>
                <w:b/>
                <w:bCs/>
                <w:color w:val="FFFFFF"/>
                <w:szCs w:val="22"/>
              </w:rPr>
              <w:t xml:space="preserve">Πίνακας </w:t>
            </w:r>
            <w:r w:rsidRPr="00707F23">
              <w:rPr>
                <w:rFonts w:ascii="Arial Narrow" w:hAnsi="Arial Narrow" w:cs="TimesNewRoman,Bold"/>
                <w:b/>
                <w:bCs/>
                <w:color w:val="FFFFFF"/>
                <w:szCs w:val="22"/>
              </w:rPr>
              <w:t>4</w:t>
            </w:r>
            <w:r>
              <w:rPr>
                <w:rFonts w:ascii="Arial Narrow" w:hAnsi="Arial Narrow" w:cs="TimesNewRoman,Bold"/>
                <w:b/>
                <w:bCs/>
                <w:color w:val="FFFFFF"/>
                <w:szCs w:val="22"/>
              </w:rPr>
              <w:t>.6</w:t>
            </w:r>
            <w:r w:rsidRPr="0015043C">
              <w:rPr>
                <w:rFonts w:ascii="Arial Narrow" w:hAnsi="Arial Narrow" w:cs="TimesNewRoman,Bold"/>
                <w:b/>
                <w:bCs/>
                <w:color w:val="FFFFFF"/>
                <w:szCs w:val="22"/>
              </w:rPr>
              <w:t xml:space="preserve">   </w:t>
            </w:r>
            <w:r w:rsidRPr="0015043C">
              <w:rPr>
                <w:rFonts w:ascii="Arial Narrow" w:hAnsi="Arial Narrow" w:cs="TimesNewRoman,Bold+1"/>
                <w:b/>
                <w:bCs/>
                <w:color w:val="FFFFFF"/>
                <w:szCs w:val="22"/>
              </w:rPr>
              <w:t xml:space="preserve">Χρέος Κεντρικής </w:t>
            </w:r>
            <w:r>
              <w:rPr>
                <w:rFonts w:ascii="Arial Narrow" w:hAnsi="Arial Narrow" w:cs="TimesNewRoman,Bold+1"/>
                <w:b/>
                <w:bCs/>
                <w:color w:val="FFFFFF"/>
                <w:szCs w:val="22"/>
              </w:rPr>
              <w:t xml:space="preserve">Διοίκησης </w:t>
            </w:r>
            <w:r w:rsidRPr="0015043C">
              <w:rPr>
                <w:rFonts w:ascii="Arial Narrow" w:hAnsi="Arial Narrow" w:cs="TimesNewRoman,Bold+1"/>
                <w:b/>
                <w:bCs/>
                <w:color w:val="FFFFFF"/>
                <w:szCs w:val="22"/>
              </w:rPr>
              <w:t>ως προς την</w:t>
            </w:r>
          </w:p>
          <w:p w:rsidR="0003141E" w:rsidRPr="0015043C" w:rsidRDefault="0003141E" w:rsidP="004B1E21">
            <w:pPr>
              <w:autoSpaceDE w:val="0"/>
              <w:autoSpaceDN w:val="0"/>
              <w:adjustRightInd w:val="0"/>
              <w:spacing w:after="120"/>
              <w:jc w:val="center"/>
              <w:rPr>
                <w:rFonts w:ascii="Arial Narrow" w:hAnsi="Arial Narrow" w:cs="TimesNewRoman,Bold"/>
                <w:b/>
                <w:bCs/>
                <w:color w:val="FFFFFF"/>
                <w:sz w:val="22"/>
                <w:szCs w:val="22"/>
              </w:rPr>
            </w:pPr>
            <w:r w:rsidRPr="0015043C">
              <w:rPr>
                <w:rFonts w:ascii="Arial Narrow" w:hAnsi="Arial Narrow" w:cs="TimesNewRoman,Bold+1"/>
                <w:b/>
                <w:bCs/>
                <w:color w:val="FFFFFF"/>
                <w:szCs w:val="22"/>
              </w:rPr>
              <w:t>υπολειπόμενη φυσική διάρκεια</w:t>
            </w:r>
            <w:r>
              <w:rPr>
                <w:rFonts w:ascii="Arial Narrow" w:hAnsi="Arial Narrow" w:cs="TimesNewRoman,Bold+1"/>
                <w:b/>
                <w:bCs/>
                <w:color w:val="FFFFFF"/>
                <w:szCs w:val="22"/>
              </w:rPr>
              <w:t xml:space="preserve"> (%)</w:t>
            </w:r>
          </w:p>
        </w:tc>
      </w:tr>
      <w:tr w:rsidR="0003141E" w:rsidRPr="0015043C" w:rsidTr="004B1E21">
        <w:trPr>
          <w:trHeight w:val="155"/>
          <w:jc w:val="center"/>
        </w:trPr>
        <w:tc>
          <w:tcPr>
            <w:tcW w:w="2977" w:type="dxa"/>
            <w:tcBorders>
              <w:top w:val="nil"/>
              <w:bottom w:val="single" w:sz="4" w:space="0" w:color="auto"/>
              <w:right w:val="nil"/>
            </w:tcBorders>
            <w:tcMar>
              <w:left w:w="28" w:type="dxa"/>
              <w:right w:w="28" w:type="dxa"/>
            </w:tcMar>
          </w:tcPr>
          <w:p w:rsidR="0003141E" w:rsidRPr="0015043C" w:rsidRDefault="0003141E" w:rsidP="004B1E21">
            <w:pPr>
              <w:autoSpaceDE w:val="0"/>
              <w:autoSpaceDN w:val="0"/>
              <w:adjustRightInd w:val="0"/>
              <w:jc w:val="center"/>
              <w:rPr>
                <w:rFonts w:ascii="Arial Narrow" w:hAnsi="Arial Narrow" w:cs="TimesNewRoman,Bold"/>
                <w:b/>
                <w:bCs/>
                <w:sz w:val="12"/>
                <w:szCs w:val="16"/>
              </w:rPr>
            </w:pPr>
          </w:p>
        </w:tc>
        <w:tc>
          <w:tcPr>
            <w:tcW w:w="3101" w:type="dxa"/>
            <w:tcBorders>
              <w:top w:val="nil"/>
              <w:left w:val="nil"/>
              <w:bottom w:val="single" w:sz="4" w:space="0" w:color="auto"/>
            </w:tcBorders>
          </w:tcPr>
          <w:p w:rsidR="0003141E" w:rsidRPr="0015043C" w:rsidRDefault="0003141E" w:rsidP="004B1E21">
            <w:pPr>
              <w:autoSpaceDE w:val="0"/>
              <w:autoSpaceDN w:val="0"/>
              <w:adjustRightInd w:val="0"/>
              <w:jc w:val="center"/>
              <w:rPr>
                <w:rFonts w:ascii="Arial Narrow" w:hAnsi="Arial Narrow" w:cs="TimesNewRoman,Bold"/>
                <w:b/>
                <w:bCs/>
                <w:sz w:val="12"/>
                <w:szCs w:val="16"/>
              </w:rPr>
            </w:pPr>
          </w:p>
        </w:tc>
      </w:tr>
      <w:tr w:rsidR="0003141E" w:rsidRPr="0015043C" w:rsidTr="004B1E21">
        <w:trPr>
          <w:trHeight w:val="263"/>
          <w:jc w:val="center"/>
        </w:trPr>
        <w:tc>
          <w:tcPr>
            <w:tcW w:w="2977" w:type="dxa"/>
            <w:tcBorders>
              <w:bottom w:val="single" w:sz="4" w:space="0" w:color="auto"/>
            </w:tcBorders>
            <w:tcMar>
              <w:left w:w="28" w:type="dxa"/>
              <w:right w:w="28" w:type="dxa"/>
            </w:tcMar>
          </w:tcPr>
          <w:p w:rsidR="0003141E" w:rsidRPr="0015043C" w:rsidRDefault="0003141E" w:rsidP="004B1E21">
            <w:pPr>
              <w:autoSpaceDE w:val="0"/>
              <w:autoSpaceDN w:val="0"/>
              <w:adjustRightInd w:val="0"/>
              <w:spacing w:before="120" w:after="120"/>
              <w:jc w:val="center"/>
              <w:rPr>
                <w:rFonts w:ascii="Arial Narrow" w:hAnsi="Arial Narrow" w:cs="TimesNewRoman,Bold"/>
                <w:b/>
                <w:bCs/>
                <w:sz w:val="16"/>
                <w:szCs w:val="16"/>
              </w:rPr>
            </w:pPr>
            <w:r w:rsidRPr="0015043C">
              <w:rPr>
                <w:rFonts w:ascii="Arial Narrow" w:hAnsi="Arial Narrow" w:cs="TimesNewRoman,Bold"/>
                <w:b/>
                <w:bCs/>
                <w:sz w:val="16"/>
                <w:szCs w:val="16"/>
              </w:rPr>
              <w:t>Διάρκεια</w:t>
            </w:r>
          </w:p>
        </w:tc>
        <w:tc>
          <w:tcPr>
            <w:tcW w:w="3101" w:type="dxa"/>
            <w:tcBorders>
              <w:bottom w:val="single" w:sz="4" w:space="0" w:color="auto"/>
            </w:tcBorders>
          </w:tcPr>
          <w:p w:rsidR="0003141E" w:rsidRPr="00064EF9" w:rsidRDefault="0003141E" w:rsidP="004B1E21">
            <w:pPr>
              <w:autoSpaceDE w:val="0"/>
              <w:autoSpaceDN w:val="0"/>
              <w:adjustRightInd w:val="0"/>
              <w:spacing w:before="120" w:after="120"/>
              <w:jc w:val="center"/>
              <w:rPr>
                <w:rFonts w:ascii="Arial Narrow" w:hAnsi="Arial Narrow" w:cs="TimesNewRoman,Bold"/>
                <w:b/>
                <w:bCs/>
                <w:sz w:val="16"/>
                <w:szCs w:val="16"/>
              </w:rPr>
            </w:pPr>
            <w:r w:rsidRPr="0015043C">
              <w:rPr>
                <w:rFonts w:ascii="Arial Narrow" w:hAnsi="Arial Narrow" w:cs="TimesNewRoman,Bold"/>
                <w:b/>
                <w:bCs/>
                <w:sz w:val="16"/>
                <w:szCs w:val="16"/>
              </w:rPr>
              <w:t>3</w:t>
            </w:r>
            <w:r w:rsidRPr="00BF07A4">
              <w:rPr>
                <w:rFonts w:ascii="Arial Narrow" w:hAnsi="Arial Narrow" w:cs="TimesNewRoman,Bold"/>
                <w:b/>
                <w:bCs/>
                <w:sz w:val="16"/>
                <w:szCs w:val="16"/>
              </w:rPr>
              <w:t>0/09/201</w:t>
            </w:r>
            <w:r>
              <w:rPr>
                <w:rFonts w:ascii="Arial Narrow" w:hAnsi="Arial Narrow" w:cs="TimesNewRoman,Bold"/>
                <w:b/>
                <w:bCs/>
                <w:sz w:val="16"/>
                <w:szCs w:val="16"/>
              </w:rPr>
              <w:t>9</w:t>
            </w:r>
          </w:p>
        </w:tc>
      </w:tr>
      <w:tr w:rsidR="0003141E" w:rsidRPr="0015043C" w:rsidTr="004B1E21">
        <w:trPr>
          <w:trHeight w:val="217"/>
          <w:jc w:val="center"/>
        </w:trPr>
        <w:tc>
          <w:tcPr>
            <w:tcW w:w="2977" w:type="dxa"/>
            <w:tcBorders>
              <w:bottom w:val="nil"/>
              <w:right w:val="nil"/>
            </w:tcBorders>
            <w:tcMar>
              <w:left w:w="28" w:type="dxa"/>
              <w:right w:w="28" w:type="dxa"/>
            </w:tcMar>
          </w:tcPr>
          <w:p w:rsidR="0003141E" w:rsidRPr="0015043C" w:rsidRDefault="0003141E" w:rsidP="004B1E21">
            <w:pPr>
              <w:pStyle w:val="a6"/>
              <w:autoSpaceDE w:val="0"/>
              <w:autoSpaceDN w:val="0"/>
              <w:adjustRightInd w:val="0"/>
              <w:spacing w:before="120" w:after="120"/>
              <w:rPr>
                <w:rFonts w:ascii="Arial Narrow" w:hAnsi="Arial Narrow" w:cs="TimesNewRoman,Bold"/>
                <w:bCs/>
              </w:rPr>
            </w:pPr>
            <w:r w:rsidRPr="0015043C">
              <w:rPr>
                <w:rFonts w:ascii="Arial Narrow" w:hAnsi="Arial Narrow" w:cs="TimesNewRoman,Bold"/>
                <w:bCs/>
              </w:rPr>
              <w:t>Βραχυπρόθεσμο (μέχρι 1 έτος)</w:t>
            </w:r>
          </w:p>
        </w:tc>
        <w:tc>
          <w:tcPr>
            <w:tcW w:w="3101" w:type="dxa"/>
            <w:tcBorders>
              <w:left w:val="nil"/>
              <w:bottom w:val="nil"/>
            </w:tcBorders>
          </w:tcPr>
          <w:p w:rsidR="0003141E" w:rsidRPr="00BF07A4" w:rsidRDefault="0003141E" w:rsidP="004B1E21">
            <w:pPr>
              <w:tabs>
                <w:tab w:val="decimal" w:pos="1532"/>
              </w:tabs>
              <w:autoSpaceDE w:val="0"/>
              <w:autoSpaceDN w:val="0"/>
              <w:adjustRightInd w:val="0"/>
              <w:spacing w:before="120" w:after="120"/>
              <w:jc w:val="both"/>
              <w:rPr>
                <w:rFonts w:ascii="Arial Narrow" w:hAnsi="Arial Narrow" w:cs="TimesNewRoman,Bold"/>
                <w:bCs/>
                <w:sz w:val="16"/>
                <w:szCs w:val="16"/>
              </w:rPr>
            </w:pPr>
            <w:r>
              <w:rPr>
                <w:rFonts w:ascii="Arial Narrow" w:hAnsi="Arial Narrow" w:cs="TimesNewRoman,Bold"/>
                <w:bCs/>
                <w:sz w:val="16"/>
                <w:szCs w:val="16"/>
              </w:rPr>
              <w:t>12,1%</w:t>
            </w:r>
          </w:p>
        </w:tc>
      </w:tr>
      <w:tr w:rsidR="0003141E" w:rsidRPr="0015043C" w:rsidTr="004B1E21">
        <w:trPr>
          <w:trHeight w:val="232"/>
          <w:jc w:val="center"/>
        </w:trPr>
        <w:tc>
          <w:tcPr>
            <w:tcW w:w="2977" w:type="dxa"/>
            <w:tcBorders>
              <w:top w:val="nil"/>
              <w:bottom w:val="nil"/>
              <w:right w:val="nil"/>
            </w:tcBorders>
            <w:shd w:val="clear" w:color="auto" w:fill="auto"/>
            <w:tcMar>
              <w:left w:w="28" w:type="dxa"/>
              <w:right w:w="28" w:type="dxa"/>
            </w:tcMar>
          </w:tcPr>
          <w:p w:rsidR="0003141E" w:rsidRPr="0015043C" w:rsidRDefault="0003141E" w:rsidP="004B1E21">
            <w:pPr>
              <w:autoSpaceDE w:val="0"/>
              <w:autoSpaceDN w:val="0"/>
              <w:adjustRightInd w:val="0"/>
              <w:spacing w:before="120" w:after="120"/>
              <w:rPr>
                <w:rFonts w:ascii="Arial Narrow" w:hAnsi="Arial Narrow" w:cs="TimesNewRoman,Bold"/>
                <w:bCs/>
                <w:sz w:val="16"/>
                <w:szCs w:val="16"/>
              </w:rPr>
            </w:pPr>
            <w:r w:rsidRPr="0015043C">
              <w:rPr>
                <w:rFonts w:ascii="Arial Narrow" w:hAnsi="Arial Narrow" w:cs="TimesNewRoman,Bold"/>
                <w:bCs/>
                <w:sz w:val="16"/>
                <w:szCs w:val="16"/>
              </w:rPr>
              <w:t>Μεσοπρόθεσμο (1 έως 5 έτη)</w:t>
            </w:r>
          </w:p>
        </w:tc>
        <w:tc>
          <w:tcPr>
            <w:tcW w:w="3101" w:type="dxa"/>
            <w:tcBorders>
              <w:top w:val="nil"/>
              <w:left w:val="nil"/>
              <w:bottom w:val="nil"/>
            </w:tcBorders>
            <w:shd w:val="clear" w:color="auto" w:fill="auto"/>
          </w:tcPr>
          <w:p w:rsidR="0003141E" w:rsidRPr="00BF07A4" w:rsidRDefault="0003141E" w:rsidP="004B1E21">
            <w:pPr>
              <w:tabs>
                <w:tab w:val="decimal" w:pos="1532"/>
              </w:tabs>
              <w:autoSpaceDE w:val="0"/>
              <w:autoSpaceDN w:val="0"/>
              <w:adjustRightInd w:val="0"/>
              <w:spacing w:before="120" w:after="120"/>
              <w:jc w:val="both"/>
              <w:rPr>
                <w:rFonts w:ascii="Arial Narrow" w:hAnsi="Arial Narrow" w:cs="TimesNewRoman,Bold"/>
                <w:bCs/>
                <w:sz w:val="16"/>
                <w:szCs w:val="16"/>
              </w:rPr>
            </w:pPr>
            <w:r>
              <w:rPr>
                <w:rFonts w:ascii="Arial Narrow" w:hAnsi="Arial Narrow" w:cs="TimesNewRoman,Bold"/>
                <w:bCs/>
                <w:sz w:val="16"/>
                <w:szCs w:val="16"/>
              </w:rPr>
              <w:t>10,3%</w:t>
            </w:r>
          </w:p>
        </w:tc>
      </w:tr>
      <w:tr w:rsidR="0003141E" w:rsidRPr="0015043C" w:rsidTr="004B1E21">
        <w:trPr>
          <w:trHeight w:val="232"/>
          <w:jc w:val="center"/>
        </w:trPr>
        <w:tc>
          <w:tcPr>
            <w:tcW w:w="2977" w:type="dxa"/>
            <w:tcBorders>
              <w:top w:val="nil"/>
              <w:bottom w:val="nil"/>
              <w:right w:val="nil"/>
            </w:tcBorders>
            <w:tcMar>
              <w:left w:w="28" w:type="dxa"/>
              <w:right w:w="28" w:type="dxa"/>
            </w:tcMar>
          </w:tcPr>
          <w:p w:rsidR="0003141E" w:rsidRPr="0015043C" w:rsidRDefault="0003141E" w:rsidP="004B1E21">
            <w:pPr>
              <w:autoSpaceDE w:val="0"/>
              <w:autoSpaceDN w:val="0"/>
              <w:adjustRightInd w:val="0"/>
              <w:spacing w:before="120" w:after="120"/>
              <w:rPr>
                <w:rFonts w:ascii="Arial Narrow" w:hAnsi="Arial Narrow" w:cs="TimesNewRoman,Bold"/>
                <w:bCs/>
                <w:sz w:val="16"/>
                <w:szCs w:val="16"/>
              </w:rPr>
            </w:pPr>
            <w:r w:rsidRPr="0015043C">
              <w:rPr>
                <w:rFonts w:ascii="Arial Narrow" w:hAnsi="Arial Narrow" w:cs="TimesNewRoman,Bold"/>
                <w:bCs/>
                <w:sz w:val="16"/>
                <w:szCs w:val="16"/>
              </w:rPr>
              <w:t>Μακροπρόθεσμο (άνω των 5 ετών)</w:t>
            </w:r>
          </w:p>
        </w:tc>
        <w:tc>
          <w:tcPr>
            <w:tcW w:w="3101" w:type="dxa"/>
            <w:tcBorders>
              <w:top w:val="nil"/>
              <w:left w:val="nil"/>
              <w:bottom w:val="nil"/>
            </w:tcBorders>
          </w:tcPr>
          <w:p w:rsidR="0003141E" w:rsidRPr="00ED0953" w:rsidRDefault="0003141E" w:rsidP="004B1E21">
            <w:pPr>
              <w:tabs>
                <w:tab w:val="decimal" w:pos="1532"/>
              </w:tabs>
              <w:autoSpaceDE w:val="0"/>
              <w:autoSpaceDN w:val="0"/>
              <w:adjustRightInd w:val="0"/>
              <w:spacing w:before="120" w:after="120"/>
              <w:jc w:val="both"/>
              <w:rPr>
                <w:rFonts w:ascii="Arial Narrow" w:hAnsi="Arial Narrow" w:cs="TimesNewRoman,Bold"/>
                <w:bCs/>
                <w:sz w:val="16"/>
                <w:szCs w:val="16"/>
              </w:rPr>
            </w:pPr>
            <w:r>
              <w:rPr>
                <w:rFonts w:ascii="Arial Narrow" w:hAnsi="Arial Narrow" w:cs="TimesNewRoman,Bold"/>
                <w:bCs/>
                <w:sz w:val="16"/>
                <w:szCs w:val="16"/>
              </w:rPr>
              <w:t>77,6%</w:t>
            </w:r>
          </w:p>
        </w:tc>
      </w:tr>
      <w:tr w:rsidR="0003141E" w:rsidRPr="0015043C" w:rsidTr="004B1E21">
        <w:trPr>
          <w:trHeight w:val="232"/>
          <w:jc w:val="center"/>
        </w:trPr>
        <w:tc>
          <w:tcPr>
            <w:tcW w:w="2977" w:type="dxa"/>
            <w:tcBorders>
              <w:top w:val="nil"/>
              <w:right w:val="nil"/>
            </w:tcBorders>
            <w:shd w:val="clear" w:color="auto" w:fill="D9D9D9" w:themeFill="background1" w:themeFillShade="D9"/>
            <w:tcMar>
              <w:left w:w="28" w:type="dxa"/>
              <w:right w:w="28" w:type="dxa"/>
            </w:tcMar>
          </w:tcPr>
          <w:p w:rsidR="0003141E" w:rsidRPr="0015043C" w:rsidRDefault="0003141E" w:rsidP="004B1E21">
            <w:pPr>
              <w:autoSpaceDE w:val="0"/>
              <w:autoSpaceDN w:val="0"/>
              <w:adjustRightInd w:val="0"/>
              <w:spacing w:before="120" w:after="120"/>
              <w:jc w:val="both"/>
              <w:rPr>
                <w:rFonts w:ascii="Arial Narrow" w:hAnsi="Arial Narrow" w:cs="TimesNewRoman,Bold"/>
                <w:b/>
                <w:bCs/>
                <w:sz w:val="16"/>
                <w:szCs w:val="16"/>
              </w:rPr>
            </w:pPr>
            <w:r w:rsidRPr="0015043C">
              <w:rPr>
                <w:rFonts w:ascii="Arial Narrow" w:hAnsi="Arial Narrow" w:cs="TimesNewRoman,Bold"/>
                <w:b/>
                <w:bCs/>
                <w:sz w:val="16"/>
                <w:szCs w:val="16"/>
              </w:rPr>
              <w:t>Σύνολο</w:t>
            </w:r>
          </w:p>
        </w:tc>
        <w:tc>
          <w:tcPr>
            <w:tcW w:w="3101" w:type="dxa"/>
            <w:tcBorders>
              <w:top w:val="nil"/>
              <w:left w:val="nil"/>
            </w:tcBorders>
            <w:shd w:val="clear" w:color="auto" w:fill="D9D9D9" w:themeFill="background1" w:themeFillShade="D9"/>
          </w:tcPr>
          <w:p w:rsidR="0003141E" w:rsidRPr="0015043C" w:rsidRDefault="000234CB" w:rsidP="004B1E21">
            <w:pPr>
              <w:tabs>
                <w:tab w:val="decimal" w:pos="1532"/>
              </w:tabs>
              <w:autoSpaceDE w:val="0"/>
              <w:autoSpaceDN w:val="0"/>
              <w:adjustRightInd w:val="0"/>
              <w:spacing w:before="120" w:after="120"/>
              <w:jc w:val="both"/>
              <w:rPr>
                <w:rFonts w:ascii="Arial Narrow" w:hAnsi="Arial Narrow" w:cs="TimesNewRoman,Bold"/>
                <w:b/>
                <w:bCs/>
                <w:sz w:val="16"/>
                <w:szCs w:val="16"/>
              </w:rPr>
            </w:pPr>
            <w:r w:rsidRPr="0015043C">
              <w:rPr>
                <w:rFonts w:ascii="Arial Narrow" w:hAnsi="Arial Narrow" w:cs="TimesNewRoman,Bold"/>
                <w:b/>
                <w:bCs/>
                <w:sz w:val="16"/>
                <w:szCs w:val="16"/>
              </w:rPr>
              <w:fldChar w:fldCharType="begin"/>
            </w:r>
            <w:r w:rsidR="0003141E" w:rsidRPr="0015043C">
              <w:rPr>
                <w:rFonts w:ascii="Arial Narrow" w:hAnsi="Arial Narrow" w:cs="TimesNewRoman,Bold"/>
                <w:b/>
                <w:bCs/>
                <w:sz w:val="16"/>
                <w:szCs w:val="16"/>
              </w:rPr>
              <w:instrText xml:space="preserve"> =SUM(ABOVE)*100 \# "0,00%" </w:instrText>
            </w:r>
            <w:r w:rsidRPr="0015043C">
              <w:rPr>
                <w:rFonts w:ascii="Arial Narrow" w:hAnsi="Arial Narrow" w:cs="TimesNewRoman,Bold"/>
                <w:b/>
                <w:bCs/>
                <w:sz w:val="16"/>
                <w:szCs w:val="16"/>
              </w:rPr>
              <w:fldChar w:fldCharType="separate"/>
            </w:r>
            <w:r w:rsidR="0003141E">
              <w:rPr>
                <w:rFonts w:ascii="Arial Narrow" w:hAnsi="Arial Narrow" w:cs="TimesNewRoman,Bold"/>
                <w:b/>
                <w:bCs/>
                <w:noProof/>
                <w:sz w:val="16"/>
                <w:szCs w:val="16"/>
              </w:rPr>
              <w:t>100,0</w:t>
            </w:r>
            <w:r w:rsidR="0003141E" w:rsidRPr="0015043C">
              <w:rPr>
                <w:rFonts w:ascii="Arial Narrow" w:hAnsi="Arial Narrow" w:cs="TimesNewRoman,Bold"/>
                <w:b/>
                <w:bCs/>
                <w:noProof/>
                <w:sz w:val="16"/>
                <w:szCs w:val="16"/>
              </w:rPr>
              <w:t>%</w:t>
            </w:r>
            <w:r w:rsidRPr="0015043C">
              <w:rPr>
                <w:rFonts w:ascii="Arial Narrow" w:hAnsi="Arial Narrow" w:cs="TimesNewRoman,Bold"/>
                <w:b/>
                <w:bCs/>
                <w:sz w:val="16"/>
                <w:szCs w:val="16"/>
              </w:rPr>
              <w:fldChar w:fldCharType="end"/>
            </w:r>
          </w:p>
        </w:tc>
      </w:tr>
    </w:tbl>
    <w:p w:rsidR="0003141E" w:rsidRPr="0015043C" w:rsidRDefault="0003141E" w:rsidP="0003141E">
      <w:pPr>
        <w:tabs>
          <w:tab w:val="left" w:pos="180"/>
        </w:tabs>
        <w:jc w:val="both"/>
        <w:rPr>
          <w:rFonts w:ascii="Arial Narrow" w:hAnsi="Arial Narrow"/>
          <w:sz w:val="16"/>
          <w:szCs w:val="16"/>
        </w:rPr>
      </w:pPr>
      <w:r w:rsidRPr="0015043C">
        <w:rPr>
          <w:rFonts w:ascii="Arial Narrow" w:hAnsi="Arial Narrow"/>
          <w:sz w:val="16"/>
          <w:szCs w:val="16"/>
        </w:rPr>
        <w:t xml:space="preserve"> </w:t>
      </w:r>
      <w:r w:rsidRPr="0015043C">
        <w:rPr>
          <w:rFonts w:ascii="Arial Narrow" w:hAnsi="Arial Narrow"/>
          <w:sz w:val="16"/>
          <w:szCs w:val="16"/>
        </w:rPr>
        <w:tab/>
      </w:r>
      <w:r w:rsidRPr="0015043C">
        <w:rPr>
          <w:rFonts w:ascii="Arial Narrow" w:hAnsi="Arial Narrow"/>
          <w:sz w:val="16"/>
          <w:szCs w:val="16"/>
        </w:rPr>
        <w:tab/>
      </w:r>
      <w:r w:rsidRPr="0015043C">
        <w:rPr>
          <w:rFonts w:ascii="Arial Narrow" w:hAnsi="Arial Narrow"/>
          <w:sz w:val="16"/>
          <w:szCs w:val="16"/>
        </w:rPr>
        <w:tab/>
        <w:t>Πηγή:  Ο</w:t>
      </w:r>
      <w:r>
        <w:rPr>
          <w:rFonts w:ascii="Arial Narrow" w:hAnsi="Arial Narrow"/>
          <w:sz w:val="16"/>
          <w:szCs w:val="16"/>
        </w:rPr>
        <w:t>ΔΔΗΧ</w:t>
      </w:r>
    </w:p>
    <w:p w:rsidR="0003141E" w:rsidRDefault="0003141E" w:rsidP="0003141E">
      <w:pPr>
        <w:jc w:val="both"/>
        <w:rPr>
          <w:sz w:val="22"/>
          <w:szCs w:val="22"/>
        </w:rPr>
      </w:pPr>
    </w:p>
    <w:p w:rsidR="0003141E" w:rsidRPr="0015043C" w:rsidRDefault="0003141E" w:rsidP="0003141E">
      <w:pPr>
        <w:jc w:val="both"/>
        <w:rPr>
          <w:sz w:val="22"/>
          <w:szCs w:val="22"/>
        </w:rPr>
      </w:pPr>
    </w:p>
    <w:p w:rsidR="0003141E" w:rsidRPr="00F713CA" w:rsidRDefault="00550B4B" w:rsidP="0003141E">
      <w:pPr>
        <w:shd w:val="clear" w:color="auto" w:fill="595959" w:themeFill="text1" w:themeFillTint="A6"/>
        <w:jc w:val="both"/>
        <w:rPr>
          <w:rFonts w:ascii="Arial Narrow" w:hAnsi="Arial Narrow"/>
          <w:b/>
          <w:bCs/>
          <w:color w:val="FFFFFF"/>
          <w:sz w:val="26"/>
          <w:szCs w:val="22"/>
        </w:rPr>
      </w:pPr>
      <w:r>
        <w:rPr>
          <w:rFonts w:ascii="Arial Narrow" w:hAnsi="Arial Narrow"/>
          <w:b/>
          <w:bCs/>
          <w:color w:val="FFFFFF"/>
          <w:sz w:val="26"/>
          <w:szCs w:val="22"/>
        </w:rPr>
        <w:t>3</w:t>
      </w:r>
      <w:r w:rsidR="0003141E" w:rsidRPr="0015043C">
        <w:rPr>
          <w:rFonts w:ascii="Arial Narrow" w:hAnsi="Arial Narrow"/>
          <w:b/>
          <w:bCs/>
          <w:color w:val="FFFFFF"/>
          <w:sz w:val="26"/>
          <w:szCs w:val="22"/>
        </w:rPr>
        <w:t xml:space="preserve">. </w:t>
      </w:r>
      <w:r w:rsidR="0003141E" w:rsidRPr="0015043C">
        <w:rPr>
          <w:rFonts w:ascii="Arial Narrow" w:hAnsi="Arial Narrow"/>
          <w:b/>
          <w:bCs/>
          <w:color w:val="FFFFFF"/>
          <w:sz w:val="26"/>
          <w:szCs w:val="22"/>
        </w:rPr>
        <w:tab/>
      </w:r>
      <w:r w:rsidR="0003141E">
        <w:rPr>
          <w:rFonts w:ascii="Arial Narrow" w:hAnsi="Arial Narrow"/>
          <w:b/>
          <w:bCs/>
          <w:color w:val="FFFFFF"/>
          <w:sz w:val="26"/>
          <w:szCs w:val="22"/>
        </w:rPr>
        <w:t>Δαπάνες εξυπηρέτησης χρέους Κεντρικής Διοίκησης</w:t>
      </w:r>
    </w:p>
    <w:p w:rsidR="0003141E" w:rsidRDefault="0003141E" w:rsidP="0003141E">
      <w:pPr>
        <w:jc w:val="both"/>
        <w:rPr>
          <w:sz w:val="22"/>
          <w:szCs w:val="22"/>
        </w:rPr>
      </w:pPr>
    </w:p>
    <w:p w:rsidR="00C3135A" w:rsidRDefault="00C3135A" w:rsidP="0003141E">
      <w:pPr>
        <w:jc w:val="both"/>
        <w:rPr>
          <w:sz w:val="22"/>
          <w:szCs w:val="22"/>
        </w:rPr>
      </w:pPr>
      <w:r>
        <w:rPr>
          <w:sz w:val="22"/>
          <w:szCs w:val="22"/>
        </w:rPr>
        <w:t xml:space="preserve">Οι δαπάνες εξυπηρέτησης του χρέους της Κεντρικής Διοίκησης </w:t>
      </w:r>
      <w:r w:rsidR="00532CE6">
        <w:rPr>
          <w:sz w:val="22"/>
          <w:szCs w:val="22"/>
        </w:rPr>
        <w:t>το 2019 εκτιμάται ότι θα διαμορφ</w:t>
      </w:r>
      <w:r w:rsidR="00532CE6">
        <w:rPr>
          <w:sz w:val="22"/>
          <w:szCs w:val="22"/>
        </w:rPr>
        <w:t>ω</w:t>
      </w:r>
      <w:r w:rsidR="00532CE6">
        <w:rPr>
          <w:sz w:val="22"/>
          <w:szCs w:val="22"/>
        </w:rPr>
        <w:t>θούν σε 24.040 εκατ. ευρώ, έναντι 13.282 εκατ. ευρώ το έτος 2018 (πίνακας 4.7).</w:t>
      </w:r>
    </w:p>
    <w:p w:rsidR="00C3135A" w:rsidRDefault="00C3135A" w:rsidP="0003141E">
      <w:pPr>
        <w:jc w:val="both"/>
        <w:rPr>
          <w:sz w:val="22"/>
          <w:szCs w:val="22"/>
        </w:rPr>
      </w:pPr>
    </w:p>
    <w:p w:rsidR="00CE71D2" w:rsidRDefault="00CE71D2" w:rsidP="0003141E">
      <w:pPr>
        <w:jc w:val="both"/>
        <w:rPr>
          <w:sz w:val="22"/>
          <w:szCs w:val="22"/>
        </w:rPr>
      </w:pPr>
    </w:p>
    <w:p w:rsidR="00CE71D2" w:rsidRDefault="00CE71D2" w:rsidP="0003141E">
      <w:pPr>
        <w:jc w:val="both"/>
        <w:rPr>
          <w:sz w:val="22"/>
          <w:szCs w:val="22"/>
        </w:rPr>
      </w:pPr>
    </w:p>
    <w:tbl>
      <w:tblPr>
        <w:tblW w:w="9138" w:type="dxa"/>
        <w:tblLayout w:type="fixed"/>
        <w:tblLook w:val="0000"/>
      </w:tblPr>
      <w:tblGrid>
        <w:gridCol w:w="600"/>
        <w:gridCol w:w="762"/>
        <w:gridCol w:w="967"/>
        <w:gridCol w:w="774"/>
        <w:gridCol w:w="783"/>
        <w:gridCol w:w="916"/>
        <w:gridCol w:w="813"/>
        <w:gridCol w:w="973"/>
        <w:gridCol w:w="1184"/>
        <w:gridCol w:w="1366"/>
      </w:tblGrid>
      <w:tr w:rsidR="00E93A14" w:rsidRPr="0015043C" w:rsidTr="004B1E21">
        <w:tc>
          <w:tcPr>
            <w:tcW w:w="9138" w:type="dxa"/>
            <w:gridSpan w:val="10"/>
            <w:tcBorders>
              <w:top w:val="single" w:sz="4" w:space="0" w:color="auto"/>
              <w:left w:val="single" w:sz="4" w:space="0" w:color="auto"/>
              <w:bottom w:val="nil"/>
              <w:right w:val="single" w:sz="4" w:space="0" w:color="auto"/>
            </w:tcBorders>
            <w:shd w:val="clear" w:color="auto" w:fill="404040" w:themeFill="text1" w:themeFillTint="BF"/>
            <w:noWrap/>
            <w:tcMar>
              <w:left w:w="28" w:type="dxa"/>
              <w:right w:w="28" w:type="dxa"/>
            </w:tcMar>
            <w:vAlign w:val="bottom"/>
          </w:tcPr>
          <w:p w:rsidR="00E93A14" w:rsidRPr="0015043C" w:rsidRDefault="00E93A14" w:rsidP="004B1E21">
            <w:pPr>
              <w:keepNext/>
              <w:spacing w:before="120"/>
              <w:jc w:val="center"/>
              <w:outlineLvl w:val="4"/>
              <w:rPr>
                <w:rFonts w:ascii="Arial Narrow" w:hAnsi="Arial Narrow"/>
                <w:b/>
                <w:bCs/>
                <w:color w:val="FFFFFF"/>
                <w:szCs w:val="16"/>
              </w:rPr>
            </w:pPr>
            <w:r w:rsidRPr="0015043C">
              <w:rPr>
                <w:rFonts w:ascii="Arial Narrow" w:hAnsi="Arial Narrow"/>
                <w:b/>
                <w:bCs/>
                <w:color w:val="FFFFFF"/>
                <w:szCs w:val="16"/>
              </w:rPr>
              <w:lastRenderedPageBreak/>
              <w:t xml:space="preserve">Πίνακας </w:t>
            </w:r>
            <w:r>
              <w:rPr>
                <w:rFonts w:ascii="Arial Narrow" w:hAnsi="Arial Narrow"/>
                <w:b/>
                <w:bCs/>
                <w:color w:val="FFFFFF"/>
                <w:szCs w:val="16"/>
              </w:rPr>
              <w:t xml:space="preserve">4.7 </w:t>
            </w:r>
            <w:r w:rsidRPr="0015043C">
              <w:rPr>
                <w:rFonts w:ascii="Arial Narrow" w:hAnsi="Arial Narrow"/>
                <w:b/>
                <w:bCs/>
                <w:color w:val="FFFFFF"/>
                <w:szCs w:val="16"/>
              </w:rPr>
              <w:t xml:space="preserve">  Δαπάνες εξυπηρέτησης χρέους Κεντρικής </w:t>
            </w:r>
            <w:r>
              <w:rPr>
                <w:rFonts w:ascii="Arial Narrow" w:hAnsi="Arial Narrow"/>
                <w:b/>
                <w:bCs/>
                <w:color w:val="FFFFFF"/>
                <w:szCs w:val="16"/>
              </w:rPr>
              <w:t>Διοίκησης</w:t>
            </w:r>
            <w:r w:rsidRPr="0015043C">
              <w:rPr>
                <w:rFonts w:ascii="Arial Narrow" w:hAnsi="Arial Narrow"/>
                <w:b/>
                <w:bCs/>
                <w:color w:val="FFFFFF"/>
                <w:szCs w:val="16"/>
              </w:rPr>
              <w:t xml:space="preserve"> </w:t>
            </w:r>
          </w:p>
          <w:p w:rsidR="00E93A14" w:rsidRPr="0015043C" w:rsidRDefault="00E93A14" w:rsidP="004B1E21">
            <w:pPr>
              <w:keepNext/>
              <w:spacing w:after="120"/>
              <w:jc w:val="center"/>
              <w:outlineLvl w:val="4"/>
              <w:rPr>
                <w:rFonts w:ascii="Arial Narrow" w:hAnsi="Arial Narrow"/>
                <w:b/>
                <w:bCs/>
                <w:color w:val="FFFFFF"/>
                <w:szCs w:val="16"/>
              </w:rPr>
            </w:pPr>
            <w:r w:rsidRPr="0015043C">
              <w:rPr>
                <w:rFonts w:ascii="Arial Narrow" w:hAnsi="Arial Narrow"/>
                <w:b/>
                <w:color w:val="FFFFFF"/>
                <w:szCs w:val="16"/>
              </w:rPr>
              <w:t>(σε εκατ. ευρώ)</w:t>
            </w:r>
          </w:p>
        </w:tc>
      </w:tr>
      <w:tr w:rsidR="00E93A14" w:rsidRPr="0015043C" w:rsidTr="004B1E21">
        <w:trPr>
          <w:trHeight w:val="172"/>
        </w:trPr>
        <w:tc>
          <w:tcPr>
            <w:tcW w:w="9138" w:type="dxa"/>
            <w:gridSpan w:val="10"/>
            <w:tcBorders>
              <w:top w:val="nil"/>
              <w:left w:val="single" w:sz="4" w:space="0" w:color="auto"/>
              <w:bottom w:val="nil"/>
              <w:right w:val="single" w:sz="4" w:space="0" w:color="auto"/>
            </w:tcBorders>
            <w:shd w:val="clear" w:color="auto" w:fill="auto"/>
            <w:noWrap/>
            <w:tcMar>
              <w:left w:w="28" w:type="dxa"/>
              <w:right w:w="28" w:type="dxa"/>
            </w:tcMar>
            <w:vAlign w:val="bottom"/>
          </w:tcPr>
          <w:p w:rsidR="00E93A14" w:rsidRPr="0015043C" w:rsidRDefault="00E93A14" w:rsidP="004B1E21">
            <w:pPr>
              <w:rPr>
                <w:rFonts w:ascii="Arial Narrow" w:hAnsi="Arial Narrow"/>
                <w:sz w:val="10"/>
                <w:szCs w:val="16"/>
              </w:rPr>
            </w:pPr>
          </w:p>
        </w:tc>
      </w:tr>
      <w:tr w:rsidR="00E93A14" w:rsidRPr="0015043C" w:rsidTr="004B1E21">
        <w:trPr>
          <w:trHeight w:val="242"/>
        </w:trPr>
        <w:tc>
          <w:tcPr>
            <w:tcW w:w="600"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rsidR="00E93A14" w:rsidRPr="0015043C" w:rsidRDefault="00E93A14" w:rsidP="004B1E21">
            <w:pPr>
              <w:jc w:val="center"/>
              <w:rPr>
                <w:rFonts w:ascii="Arial Narrow" w:hAnsi="Arial Narrow"/>
                <w:sz w:val="16"/>
                <w:szCs w:val="16"/>
              </w:rPr>
            </w:pPr>
          </w:p>
          <w:p w:rsidR="00E93A14" w:rsidRPr="00F10DC4" w:rsidRDefault="00E93A14" w:rsidP="004B1E21">
            <w:pPr>
              <w:jc w:val="center"/>
              <w:rPr>
                <w:rFonts w:ascii="Arial Narrow" w:hAnsi="Arial Narrow"/>
                <w:b/>
                <w:sz w:val="16"/>
                <w:szCs w:val="16"/>
              </w:rPr>
            </w:pPr>
            <w:r w:rsidRPr="00F10DC4">
              <w:rPr>
                <w:rFonts w:ascii="Arial Narrow" w:hAnsi="Arial Narrow"/>
                <w:b/>
                <w:sz w:val="16"/>
                <w:szCs w:val="16"/>
              </w:rPr>
              <w:t>Έτος</w:t>
            </w:r>
          </w:p>
          <w:p w:rsidR="00E93A14" w:rsidRPr="0015043C" w:rsidRDefault="00E93A14" w:rsidP="004B1E21">
            <w:pPr>
              <w:jc w:val="center"/>
              <w:rPr>
                <w:rFonts w:ascii="Arial Narrow" w:hAnsi="Arial Narrow"/>
                <w:sz w:val="16"/>
                <w:szCs w:val="16"/>
              </w:rPr>
            </w:pPr>
          </w:p>
        </w:tc>
        <w:tc>
          <w:tcPr>
            <w:tcW w:w="2503"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93A14" w:rsidRPr="0015043C" w:rsidRDefault="00E93A14" w:rsidP="004B1E21">
            <w:pPr>
              <w:keepNext/>
              <w:jc w:val="center"/>
              <w:outlineLvl w:val="5"/>
              <w:rPr>
                <w:rFonts w:ascii="Arial Narrow" w:hAnsi="Arial Narrow"/>
                <w:b/>
                <w:bCs/>
                <w:sz w:val="16"/>
                <w:szCs w:val="16"/>
              </w:rPr>
            </w:pPr>
            <w:r w:rsidRPr="0015043C">
              <w:rPr>
                <w:rFonts w:ascii="Arial Narrow" w:hAnsi="Arial Narrow"/>
                <w:b/>
                <w:bCs/>
                <w:sz w:val="16"/>
                <w:szCs w:val="16"/>
              </w:rPr>
              <w:t>Χρεολύσια</w:t>
            </w:r>
          </w:p>
        </w:tc>
        <w:tc>
          <w:tcPr>
            <w:tcW w:w="2512"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E93A14" w:rsidRPr="0015043C" w:rsidRDefault="00E93A14" w:rsidP="004B1E21">
            <w:pPr>
              <w:jc w:val="center"/>
              <w:rPr>
                <w:rFonts w:ascii="Arial Narrow" w:hAnsi="Arial Narrow"/>
                <w:b/>
                <w:bCs/>
                <w:sz w:val="16"/>
                <w:szCs w:val="16"/>
              </w:rPr>
            </w:pPr>
            <w:r w:rsidRPr="0015043C">
              <w:rPr>
                <w:rFonts w:ascii="Arial Narrow" w:hAnsi="Arial Narrow"/>
                <w:b/>
                <w:bCs/>
                <w:sz w:val="16"/>
                <w:szCs w:val="16"/>
              </w:rPr>
              <w:t>Τόκοι</w:t>
            </w:r>
          </w:p>
        </w:tc>
        <w:tc>
          <w:tcPr>
            <w:tcW w:w="973" w:type="dxa"/>
            <w:vMerge w:val="restart"/>
            <w:tcBorders>
              <w:top w:val="single" w:sz="4" w:space="0" w:color="auto"/>
              <w:left w:val="nil"/>
              <w:right w:val="single" w:sz="4" w:space="0" w:color="auto"/>
            </w:tcBorders>
            <w:shd w:val="clear" w:color="auto" w:fill="auto"/>
            <w:noWrap/>
            <w:tcMar>
              <w:left w:w="28" w:type="dxa"/>
              <w:right w:w="28" w:type="dxa"/>
            </w:tcMar>
            <w:vAlign w:val="center"/>
          </w:tcPr>
          <w:p w:rsidR="00E93A14" w:rsidRDefault="00E93A14" w:rsidP="004B1E21">
            <w:pPr>
              <w:jc w:val="center"/>
              <w:rPr>
                <w:rFonts w:ascii="Arial Narrow" w:hAnsi="Arial Narrow"/>
                <w:b/>
                <w:bCs/>
                <w:sz w:val="16"/>
                <w:szCs w:val="16"/>
              </w:rPr>
            </w:pPr>
            <w:r>
              <w:rPr>
                <w:rFonts w:ascii="Arial Narrow" w:hAnsi="Arial Narrow"/>
                <w:b/>
                <w:bCs/>
                <w:sz w:val="16"/>
                <w:szCs w:val="16"/>
              </w:rPr>
              <w:t>Παράλληλες</w:t>
            </w:r>
          </w:p>
          <w:p w:rsidR="00E93A14" w:rsidRPr="0015043C" w:rsidRDefault="00E93A14" w:rsidP="004B1E21">
            <w:pPr>
              <w:jc w:val="center"/>
              <w:rPr>
                <w:rFonts w:ascii="Arial Narrow" w:hAnsi="Arial Narrow"/>
                <w:b/>
                <w:bCs/>
                <w:sz w:val="16"/>
                <w:szCs w:val="16"/>
              </w:rPr>
            </w:pPr>
            <w:r>
              <w:rPr>
                <w:rFonts w:ascii="Arial Narrow" w:hAnsi="Arial Narrow"/>
                <w:b/>
                <w:bCs/>
                <w:sz w:val="16"/>
                <w:szCs w:val="16"/>
              </w:rPr>
              <w:t>δαπάνες</w:t>
            </w:r>
          </w:p>
        </w:tc>
        <w:tc>
          <w:tcPr>
            <w:tcW w:w="1184" w:type="dxa"/>
            <w:vMerge w:val="restart"/>
            <w:tcBorders>
              <w:top w:val="single" w:sz="4" w:space="0" w:color="auto"/>
              <w:left w:val="nil"/>
              <w:right w:val="single" w:sz="4" w:space="0" w:color="auto"/>
            </w:tcBorders>
            <w:shd w:val="clear" w:color="auto" w:fill="auto"/>
            <w:tcMar>
              <w:left w:w="28" w:type="dxa"/>
              <w:right w:w="28" w:type="dxa"/>
            </w:tcMar>
            <w:vAlign w:val="center"/>
          </w:tcPr>
          <w:p w:rsidR="00E93A14" w:rsidRDefault="00E93A14" w:rsidP="004B1E21">
            <w:pPr>
              <w:jc w:val="center"/>
              <w:rPr>
                <w:rFonts w:ascii="Arial Narrow" w:hAnsi="Arial Narrow"/>
                <w:b/>
                <w:bCs/>
                <w:sz w:val="16"/>
                <w:szCs w:val="16"/>
              </w:rPr>
            </w:pPr>
            <w:r>
              <w:rPr>
                <w:rFonts w:ascii="Arial Narrow" w:hAnsi="Arial Narrow"/>
                <w:b/>
                <w:bCs/>
                <w:sz w:val="16"/>
                <w:szCs w:val="16"/>
              </w:rPr>
              <w:t xml:space="preserve">Τόκοι και </w:t>
            </w:r>
          </w:p>
          <w:p w:rsidR="00E93A14" w:rsidRPr="0015043C" w:rsidRDefault="00E93A14" w:rsidP="004B1E21">
            <w:pPr>
              <w:jc w:val="center"/>
              <w:rPr>
                <w:rFonts w:ascii="Arial Narrow" w:hAnsi="Arial Narrow"/>
                <w:b/>
                <w:bCs/>
                <w:sz w:val="16"/>
                <w:szCs w:val="16"/>
              </w:rPr>
            </w:pPr>
            <w:r>
              <w:rPr>
                <w:rFonts w:ascii="Arial Narrow" w:hAnsi="Arial Narrow"/>
                <w:b/>
                <w:bCs/>
                <w:sz w:val="16"/>
                <w:szCs w:val="16"/>
              </w:rPr>
              <w:t>παραλ. δαπάνες</w:t>
            </w:r>
          </w:p>
        </w:tc>
        <w:tc>
          <w:tcPr>
            <w:tcW w:w="136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E93A14" w:rsidRPr="0015043C" w:rsidRDefault="00E93A14" w:rsidP="004B1E21">
            <w:pPr>
              <w:jc w:val="center"/>
              <w:rPr>
                <w:rFonts w:ascii="Arial Narrow" w:hAnsi="Arial Narrow"/>
                <w:b/>
                <w:bCs/>
                <w:sz w:val="16"/>
                <w:szCs w:val="16"/>
              </w:rPr>
            </w:pPr>
            <w:r w:rsidRPr="0015043C">
              <w:rPr>
                <w:rFonts w:ascii="Arial Narrow" w:hAnsi="Arial Narrow"/>
                <w:b/>
                <w:bCs/>
                <w:sz w:val="16"/>
                <w:szCs w:val="16"/>
              </w:rPr>
              <w:t>Γενικό σύνολο</w:t>
            </w:r>
          </w:p>
        </w:tc>
      </w:tr>
      <w:tr w:rsidR="00E93A14" w:rsidRPr="0015043C" w:rsidTr="004B1E21">
        <w:trPr>
          <w:trHeight w:val="193"/>
        </w:trPr>
        <w:tc>
          <w:tcPr>
            <w:tcW w:w="600" w:type="dxa"/>
            <w:vMerge/>
            <w:tcBorders>
              <w:left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rPr>
                <w:rFonts w:ascii="Arial Narrow" w:hAnsi="Arial Narrow"/>
                <w:sz w:val="16"/>
                <w:szCs w:val="16"/>
              </w:rPr>
            </w:pPr>
          </w:p>
        </w:tc>
        <w:tc>
          <w:tcPr>
            <w:tcW w:w="762" w:type="dxa"/>
            <w:tcBorders>
              <w:top w:val="nil"/>
              <w:left w:val="nil"/>
              <w:bottom w:val="nil"/>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bCs/>
                <w:sz w:val="16"/>
                <w:szCs w:val="16"/>
              </w:rPr>
            </w:pPr>
            <w:r w:rsidRPr="0015043C">
              <w:rPr>
                <w:rFonts w:ascii="Arial Narrow" w:hAnsi="Arial Narrow"/>
                <w:b/>
                <w:bCs/>
                <w:sz w:val="16"/>
                <w:szCs w:val="16"/>
              </w:rPr>
              <w:t>Συναλ.</w:t>
            </w:r>
          </w:p>
        </w:tc>
        <w:tc>
          <w:tcPr>
            <w:tcW w:w="967" w:type="dxa"/>
            <w:tcBorders>
              <w:top w:val="nil"/>
              <w:left w:val="nil"/>
              <w:bottom w:val="nil"/>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bCs/>
                <w:sz w:val="16"/>
                <w:szCs w:val="16"/>
              </w:rPr>
            </w:pPr>
            <w:r w:rsidRPr="0015043C">
              <w:rPr>
                <w:rFonts w:ascii="Arial Narrow" w:hAnsi="Arial Narrow"/>
                <w:b/>
                <w:bCs/>
                <w:sz w:val="16"/>
                <w:szCs w:val="16"/>
              </w:rPr>
              <w:t>Εθν. νομ.</w:t>
            </w:r>
          </w:p>
        </w:tc>
        <w:tc>
          <w:tcPr>
            <w:tcW w:w="774" w:type="dxa"/>
            <w:tcBorders>
              <w:top w:val="nil"/>
              <w:left w:val="nil"/>
              <w:bottom w:val="nil"/>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bCs/>
                <w:sz w:val="16"/>
                <w:szCs w:val="16"/>
              </w:rPr>
            </w:pPr>
            <w:r w:rsidRPr="0015043C">
              <w:rPr>
                <w:rFonts w:ascii="Arial Narrow" w:hAnsi="Arial Narrow"/>
                <w:b/>
                <w:bCs/>
                <w:sz w:val="16"/>
                <w:szCs w:val="16"/>
              </w:rPr>
              <w:t>Σύνολο</w:t>
            </w:r>
          </w:p>
        </w:tc>
        <w:tc>
          <w:tcPr>
            <w:tcW w:w="78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bCs/>
                <w:sz w:val="16"/>
                <w:szCs w:val="16"/>
              </w:rPr>
            </w:pPr>
            <w:r w:rsidRPr="0015043C">
              <w:rPr>
                <w:rFonts w:ascii="Arial Narrow" w:hAnsi="Arial Narrow"/>
                <w:b/>
                <w:bCs/>
                <w:sz w:val="16"/>
                <w:szCs w:val="16"/>
              </w:rPr>
              <w:t>Συναλ.</w:t>
            </w:r>
          </w:p>
        </w:tc>
        <w:tc>
          <w:tcPr>
            <w:tcW w:w="916" w:type="dxa"/>
            <w:tcBorders>
              <w:top w:val="nil"/>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bCs/>
                <w:sz w:val="16"/>
                <w:szCs w:val="16"/>
              </w:rPr>
            </w:pPr>
            <w:r w:rsidRPr="0015043C">
              <w:rPr>
                <w:rFonts w:ascii="Arial Narrow" w:hAnsi="Arial Narrow"/>
                <w:b/>
                <w:bCs/>
                <w:sz w:val="16"/>
                <w:szCs w:val="16"/>
              </w:rPr>
              <w:t>Εθν. νομ.</w:t>
            </w:r>
          </w:p>
        </w:tc>
        <w:tc>
          <w:tcPr>
            <w:tcW w:w="81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bCs/>
                <w:sz w:val="16"/>
                <w:szCs w:val="16"/>
              </w:rPr>
            </w:pPr>
            <w:r w:rsidRPr="0015043C">
              <w:rPr>
                <w:rFonts w:ascii="Arial Narrow" w:hAnsi="Arial Narrow"/>
                <w:b/>
                <w:bCs/>
                <w:sz w:val="16"/>
                <w:szCs w:val="16"/>
              </w:rPr>
              <w:t>Σύνολο</w:t>
            </w:r>
          </w:p>
        </w:tc>
        <w:tc>
          <w:tcPr>
            <w:tcW w:w="973" w:type="dxa"/>
            <w:vMerge/>
            <w:tcBorders>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bCs/>
                <w:sz w:val="16"/>
                <w:szCs w:val="16"/>
              </w:rPr>
            </w:pPr>
          </w:p>
        </w:tc>
        <w:tc>
          <w:tcPr>
            <w:tcW w:w="1184" w:type="dxa"/>
            <w:vMerge/>
            <w:tcBorders>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bCs/>
                <w:sz w:val="16"/>
                <w:szCs w:val="16"/>
              </w:rPr>
            </w:pPr>
          </w:p>
        </w:tc>
        <w:tc>
          <w:tcPr>
            <w:tcW w:w="1366" w:type="dxa"/>
            <w:vMerge/>
            <w:tcBorders>
              <w:left w:val="single" w:sz="4" w:space="0" w:color="auto"/>
              <w:bottom w:val="single" w:sz="4" w:space="0" w:color="000000"/>
              <w:right w:val="single" w:sz="4" w:space="0" w:color="auto"/>
            </w:tcBorders>
            <w:tcMar>
              <w:left w:w="28" w:type="dxa"/>
              <w:right w:w="28" w:type="dxa"/>
            </w:tcMar>
            <w:vAlign w:val="center"/>
          </w:tcPr>
          <w:p w:rsidR="00E93A14" w:rsidRPr="0015043C" w:rsidRDefault="00E93A14" w:rsidP="004B1E21">
            <w:pPr>
              <w:rPr>
                <w:rFonts w:ascii="Arial Narrow" w:hAnsi="Arial Narrow"/>
                <w:b/>
                <w:bCs/>
                <w:sz w:val="16"/>
                <w:szCs w:val="16"/>
              </w:rPr>
            </w:pPr>
          </w:p>
        </w:tc>
      </w:tr>
      <w:tr w:rsidR="00E93A14" w:rsidRPr="0015043C" w:rsidTr="004B1E21">
        <w:trPr>
          <w:trHeight w:val="193"/>
        </w:trPr>
        <w:tc>
          <w:tcPr>
            <w:tcW w:w="600" w:type="dxa"/>
            <w:vMerge/>
            <w:tcBorders>
              <w:left w:val="single" w:sz="4" w:space="0" w:color="auto"/>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rPr>
                <w:rFonts w:ascii="Arial Narrow" w:hAnsi="Arial Narrow"/>
                <w:b/>
                <w:sz w:val="16"/>
                <w:szCs w:val="16"/>
              </w:rPr>
            </w:pPr>
          </w:p>
        </w:tc>
        <w:tc>
          <w:tcPr>
            <w:tcW w:w="76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sz w:val="16"/>
                <w:szCs w:val="16"/>
              </w:rPr>
            </w:pPr>
            <w:r w:rsidRPr="0015043C">
              <w:rPr>
                <w:rFonts w:ascii="Arial Narrow" w:hAnsi="Arial Narrow"/>
                <w:b/>
                <w:sz w:val="16"/>
                <w:szCs w:val="16"/>
              </w:rPr>
              <w:t> </w:t>
            </w:r>
          </w:p>
        </w:tc>
        <w:tc>
          <w:tcPr>
            <w:tcW w:w="9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sz w:val="16"/>
                <w:szCs w:val="16"/>
              </w:rPr>
            </w:pPr>
            <w:r w:rsidRPr="0015043C">
              <w:rPr>
                <w:rFonts w:ascii="Arial Narrow" w:hAnsi="Arial Narrow"/>
                <w:b/>
                <w:sz w:val="16"/>
                <w:szCs w:val="16"/>
              </w:rPr>
              <w:t> </w:t>
            </w:r>
          </w:p>
        </w:tc>
        <w:tc>
          <w:tcPr>
            <w:tcW w:w="7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sz w:val="16"/>
                <w:szCs w:val="16"/>
              </w:rPr>
            </w:pPr>
            <w:r w:rsidRPr="0015043C">
              <w:rPr>
                <w:rFonts w:ascii="Arial Narrow" w:hAnsi="Arial Narrow"/>
                <w:b/>
                <w:sz w:val="16"/>
                <w:szCs w:val="16"/>
              </w:rPr>
              <w:t>(1)</w:t>
            </w:r>
          </w:p>
        </w:tc>
        <w:tc>
          <w:tcPr>
            <w:tcW w:w="78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sz w:val="16"/>
                <w:szCs w:val="16"/>
              </w:rPr>
            </w:pPr>
            <w:r w:rsidRPr="0015043C">
              <w:rPr>
                <w:rFonts w:ascii="Arial Narrow" w:hAnsi="Arial Narrow"/>
                <w:b/>
                <w:sz w:val="16"/>
                <w:szCs w:val="16"/>
              </w:rPr>
              <w:t> </w:t>
            </w:r>
          </w:p>
        </w:tc>
        <w:tc>
          <w:tcPr>
            <w:tcW w:w="916" w:type="dxa"/>
            <w:tcBorders>
              <w:top w:val="nil"/>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sz w:val="16"/>
                <w:szCs w:val="16"/>
              </w:rPr>
            </w:pPr>
            <w:r w:rsidRPr="0015043C">
              <w:rPr>
                <w:rFonts w:ascii="Arial Narrow" w:hAnsi="Arial Narrow"/>
                <w:b/>
                <w:sz w:val="16"/>
                <w:szCs w:val="16"/>
              </w:rPr>
              <w:t> </w:t>
            </w:r>
          </w:p>
        </w:tc>
        <w:tc>
          <w:tcPr>
            <w:tcW w:w="81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sz w:val="16"/>
                <w:szCs w:val="16"/>
              </w:rPr>
            </w:pPr>
            <w:r w:rsidRPr="0015043C">
              <w:rPr>
                <w:rFonts w:ascii="Arial Narrow" w:hAnsi="Arial Narrow"/>
                <w:b/>
                <w:sz w:val="16"/>
                <w:szCs w:val="16"/>
              </w:rPr>
              <w:t>(2)</w:t>
            </w:r>
          </w:p>
        </w:tc>
        <w:tc>
          <w:tcPr>
            <w:tcW w:w="973" w:type="dxa"/>
            <w:tcBorders>
              <w:top w:val="nil"/>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sz w:val="16"/>
                <w:szCs w:val="16"/>
              </w:rPr>
            </w:pPr>
            <w:r>
              <w:rPr>
                <w:rFonts w:ascii="Arial Narrow" w:hAnsi="Arial Narrow"/>
                <w:b/>
                <w:sz w:val="16"/>
                <w:szCs w:val="16"/>
              </w:rPr>
              <w:t>(3)</w:t>
            </w:r>
          </w:p>
        </w:tc>
        <w:tc>
          <w:tcPr>
            <w:tcW w:w="1184" w:type="dxa"/>
            <w:tcBorders>
              <w:top w:val="nil"/>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sz w:val="16"/>
                <w:szCs w:val="16"/>
              </w:rPr>
            </w:pPr>
            <w:r>
              <w:rPr>
                <w:rFonts w:ascii="Arial Narrow" w:hAnsi="Arial Narrow"/>
                <w:b/>
                <w:sz w:val="16"/>
                <w:szCs w:val="16"/>
              </w:rPr>
              <w:t>(2+3</w:t>
            </w:r>
            <w:r w:rsidRPr="0015043C">
              <w:rPr>
                <w:rFonts w:ascii="Arial Narrow" w:hAnsi="Arial Narrow"/>
                <w:b/>
                <w:sz w:val="16"/>
                <w:szCs w:val="16"/>
              </w:rPr>
              <w:t>)</w:t>
            </w:r>
          </w:p>
        </w:tc>
        <w:tc>
          <w:tcPr>
            <w:tcW w:w="1366" w:type="dxa"/>
            <w:tcBorders>
              <w:top w:val="nil"/>
              <w:left w:val="nil"/>
              <w:bottom w:val="single" w:sz="4" w:space="0" w:color="auto"/>
              <w:righ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b/>
                <w:sz w:val="16"/>
                <w:szCs w:val="16"/>
              </w:rPr>
            </w:pPr>
            <w:r w:rsidRPr="0015043C">
              <w:rPr>
                <w:rFonts w:ascii="Arial Narrow" w:hAnsi="Arial Narrow"/>
                <w:b/>
                <w:sz w:val="16"/>
                <w:szCs w:val="16"/>
              </w:rPr>
              <w:t>(1+2+3)</w:t>
            </w:r>
          </w:p>
        </w:tc>
      </w:tr>
      <w:tr w:rsidR="00E93A14" w:rsidRPr="0015043C" w:rsidTr="004B1E21">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sidRPr="0015043C">
              <w:rPr>
                <w:rFonts w:ascii="Arial Narrow" w:hAnsi="Arial Narrow"/>
                <w:sz w:val="16"/>
                <w:szCs w:val="16"/>
              </w:rPr>
              <w:t>1998</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3.550</w:t>
            </w:r>
          </w:p>
        </w:tc>
        <w:tc>
          <w:tcPr>
            <w:tcW w:w="967"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6.132</w:t>
            </w:r>
          </w:p>
        </w:tc>
        <w:tc>
          <w:tcPr>
            <w:tcW w:w="774"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9.682</w:t>
            </w:r>
          </w:p>
        </w:tc>
        <w:tc>
          <w:tcPr>
            <w:tcW w:w="78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1.625</w:t>
            </w:r>
          </w:p>
        </w:tc>
        <w:tc>
          <w:tcPr>
            <w:tcW w:w="916"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7.393</w:t>
            </w:r>
          </w:p>
        </w:tc>
        <w:tc>
          <w:tcPr>
            <w:tcW w:w="81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9.018</w:t>
            </w:r>
          </w:p>
        </w:tc>
        <w:tc>
          <w:tcPr>
            <w:tcW w:w="973" w:type="dxa"/>
            <w:tcBorders>
              <w:top w:val="nil"/>
              <w:bottom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170</w:t>
            </w:r>
          </w:p>
        </w:tc>
        <w:tc>
          <w:tcPr>
            <w:tcW w:w="1184" w:type="dxa"/>
            <w:tcBorders>
              <w:top w:val="nil"/>
              <w:bottom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9.188</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18.870</w:t>
            </w:r>
          </w:p>
        </w:tc>
      </w:tr>
      <w:tr w:rsidR="00E93A14" w:rsidRPr="0015043C" w:rsidTr="004B1E21">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sidRPr="0015043C">
              <w:rPr>
                <w:rFonts w:ascii="Arial Narrow" w:hAnsi="Arial Narrow"/>
                <w:sz w:val="16"/>
                <w:szCs w:val="16"/>
              </w:rPr>
              <w:t>1999</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2.682</w:t>
            </w:r>
          </w:p>
        </w:tc>
        <w:tc>
          <w:tcPr>
            <w:tcW w:w="967"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6.569</w:t>
            </w:r>
          </w:p>
        </w:tc>
        <w:tc>
          <w:tcPr>
            <w:tcW w:w="774"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9.251</w:t>
            </w:r>
          </w:p>
        </w:tc>
        <w:tc>
          <w:tcPr>
            <w:tcW w:w="78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1.532</w:t>
            </w:r>
          </w:p>
        </w:tc>
        <w:tc>
          <w:tcPr>
            <w:tcW w:w="916"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7.758</w:t>
            </w:r>
          </w:p>
        </w:tc>
        <w:tc>
          <w:tcPr>
            <w:tcW w:w="81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9.290</w:t>
            </w:r>
          </w:p>
        </w:tc>
        <w:tc>
          <w:tcPr>
            <w:tcW w:w="973" w:type="dxa"/>
            <w:tcBorders>
              <w:top w:val="nil"/>
              <w:bottom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101</w:t>
            </w:r>
          </w:p>
        </w:tc>
        <w:tc>
          <w:tcPr>
            <w:tcW w:w="1184" w:type="dxa"/>
            <w:tcBorders>
              <w:top w:val="nil"/>
              <w:bottom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9.391</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18.642</w:t>
            </w:r>
          </w:p>
        </w:tc>
      </w:tr>
      <w:tr w:rsidR="00E93A14" w:rsidRPr="0015043C" w:rsidTr="004B1E21">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sidRPr="0015043C">
              <w:rPr>
                <w:rFonts w:ascii="Arial Narrow" w:hAnsi="Arial Narrow"/>
                <w:sz w:val="16"/>
                <w:szCs w:val="16"/>
              </w:rPr>
              <w:t>2000</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4.640</w:t>
            </w:r>
          </w:p>
        </w:tc>
        <w:tc>
          <w:tcPr>
            <w:tcW w:w="967"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8.491</w:t>
            </w:r>
          </w:p>
        </w:tc>
        <w:tc>
          <w:tcPr>
            <w:tcW w:w="774"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13.131</w:t>
            </w:r>
          </w:p>
        </w:tc>
        <w:tc>
          <w:tcPr>
            <w:tcW w:w="78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1.922</w:t>
            </w:r>
          </w:p>
        </w:tc>
        <w:tc>
          <w:tcPr>
            <w:tcW w:w="916"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7.577</w:t>
            </w:r>
          </w:p>
        </w:tc>
        <w:tc>
          <w:tcPr>
            <w:tcW w:w="81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9.499</w:t>
            </w:r>
          </w:p>
        </w:tc>
        <w:tc>
          <w:tcPr>
            <w:tcW w:w="973" w:type="dxa"/>
            <w:tcBorders>
              <w:top w:val="nil"/>
              <w:bottom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58</w:t>
            </w:r>
          </w:p>
        </w:tc>
        <w:tc>
          <w:tcPr>
            <w:tcW w:w="1184" w:type="dxa"/>
            <w:tcBorders>
              <w:top w:val="nil"/>
              <w:bottom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9.557</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22.688</w:t>
            </w:r>
          </w:p>
        </w:tc>
      </w:tr>
      <w:tr w:rsidR="00E93A14" w:rsidRPr="0015043C" w:rsidTr="004B1E21">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sidRPr="0015043C">
              <w:rPr>
                <w:rFonts w:ascii="Arial Narrow" w:hAnsi="Arial Narrow"/>
                <w:sz w:val="16"/>
                <w:szCs w:val="16"/>
              </w:rPr>
              <w:t>2001</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2.566</w:t>
            </w:r>
          </w:p>
        </w:tc>
        <w:tc>
          <w:tcPr>
            <w:tcW w:w="967"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9.052</w:t>
            </w:r>
          </w:p>
        </w:tc>
        <w:tc>
          <w:tcPr>
            <w:tcW w:w="774"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11.618</w:t>
            </w:r>
          </w:p>
        </w:tc>
        <w:tc>
          <w:tcPr>
            <w:tcW w:w="78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719</w:t>
            </w:r>
          </w:p>
        </w:tc>
        <w:tc>
          <w:tcPr>
            <w:tcW w:w="916"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8.570</w:t>
            </w:r>
          </w:p>
        </w:tc>
        <w:tc>
          <w:tcPr>
            <w:tcW w:w="81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9.289</w:t>
            </w:r>
          </w:p>
        </w:tc>
        <w:tc>
          <w:tcPr>
            <w:tcW w:w="973" w:type="dxa"/>
            <w:tcBorders>
              <w:top w:val="nil"/>
              <w:bottom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39</w:t>
            </w:r>
          </w:p>
        </w:tc>
        <w:tc>
          <w:tcPr>
            <w:tcW w:w="1184" w:type="dxa"/>
            <w:tcBorders>
              <w:top w:val="nil"/>
              <w:bottom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9.328</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20.946</w:t>
            </w:r>
          </w:p>
        </w:tc>
      </w:tr>
      <w:tr w:rsidR="00E93A14" w:rsidRPr="0015043C" w:rsidTr="004B1E21">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sidRPr="0015043C">
              <w:rPr>
                <w:rFonts w:ascii="Arial Narrow" w:hAnsi="Arial Narrow"/>
                <w:sz w:val="16"/>
                <w:szCs w:val="16"/>
              </w:rPr>
              <w:t>2002</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2.397</w:t>
            </w:r>
          </w:p>
        </w:tc>
        <w:tc>
          <w:tcPr>
            <w:tcW w:w="967"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17.883</w:t>
            </w:r>
          </w:p>
        </w:tc>
        <w:tc>
          <w:tcPr>
            <w:tcW w:w="774"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20.280</w:t>
            </w:r>
          </w:p>
        </w:tc>
        <w:tc>
          <w:tcPr>
            <w:tcW w:w="78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391</w:t>
            </w:r>
          </w:p>
        </w:tc>
        <w:tc>
          <w:tcPr>
            <w:tcW w:w="916"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8.144</w:t>
            </w:r>
          </w:p>
        </w:tc>
        <w:tc>
          <w:tcPr>
            <w:tcW w:w="81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8.535</w:t>
            </w:r>
          </w:p>
        </w:tc>
        <w:tc>
          <w:tcPr>
            <w:tcW w:w="973" w:type="dxa"/>
            <w:tcBorders>
              <w:top w:val="nil"/>
              <w:bottom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59</w:t>
            </w:r>
          </w:p>
        </w:tc>
        <w:tc>
          <w:tcPr>
            <w:tcW w:w="1184" w:type="dxa"/>
            <w:tcBorders>
              <w:top w:val="nil"/>
              <w:bottom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8.594</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28.874</w:t>
            </w:r>
          </w:p>
        </w:tc>
      </w:tr>
      <w:tr w:rsidR="00E93A14" w:rsidRPr="0015043C" w:rsidTr="004B1E21">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sidRPr="0015043C">
              <w:rPr>
                <w:rFonts w:ascii="Arial Narrow" w:hAnsi="Arial Narrow"/>
                <w:sz w:val="16"/>
                <w:szCs w:val="16"/>
              </w:rPr>
              <w:t>2003</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1.204</w:t>
            </w:r>
          </w:p>
        </w:tc>
        <w:tc>
          <w:tcPr>
            <w:tcW w:w="967"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19.559</w:t>
            </w:r>
          </w:p>
        </w:tc>
        <w:tc>
          <w:tcPr>
            <w:tcW w:w="774"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20.763</w:t>
            </w:r>
          </w:p>
        </w:tc>
        <w:tc>
          <w:tcPr>
            <w:tcW w:w="78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180</w:t>
            </w:r>
          </w:p>
        </w:tc>
        <w:tc>
          <w:tcPr>
            <w:tcW w:w="916"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9.028</w:t>
            </w:r>
          </w:p>
        </w:tc>
        <w:tc>
          <w:tcPr>
            <w:tcW w:w="81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9.208</w:t>
            </w:r>
          </w:p>
        </w:tc>
        <w:tc>
          <w:tcPr>
            <w:tcW w:w="973" w:type="dxa"/>
            <w:tcBorders>
              <w:top w:val="nil"/>
              <w:bottom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70</w:t>
            </w:r>
          </w:p>
        </w:tc>
        <w:tc>
          <w:tcPr>
            <w:tcW w:w="1184" w:type="dxa"/>
            <w:tcBorders>
              <w:top w:val="nil"/>
              <w:bottom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9.278</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30.041</w:t>
            </w:r>
          </w:p>
        </w:tc>
      </w:tr>
      <w:tr w:rsidR="00E93A14" w:rsidRPr="0015043C" w:rsidTr="004B1E21">
        <w:trPr>
          <w:trHeight w:val="20"/>
        </w:trPr>
        <w:tc>
          <w:tcPr>
            <w:tcW w:w="600" w:type="dxa"/>
            <w:tcBorders>
              <w:top w:val="nil"/>
              <w:lef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sidRPr="0015043C">
              <w:rPr>
                <w:rFonts w:ascii="Arial Narrow" w:hAnsi="Arial Narrow"/>
                <w:sz w:val="16"/>
                <w:szCs w:val="16"/>
              </w:rPr>
              <w:t>2004</w:t>
            </w:r>
          </w:p>
        </w:tc>
        <w:tc>
          <w:tcPr>
            <w:tcW w:w="762"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667</w:t>
            </w:r>
          </w:p>
        </w:tc>
        <w:tc>
          <w:tcPr>
            <w:tcW w:w="967"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17.777</w:t>
            </w:r>
          </w:p>
        </w:tc>
        <w:tc>
          <w:tcPr>
            <w:tcW w:w="774"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18.444</w:t>
            </w:r>
          </w:p>
        </w:tc>
        <w:tc>
          <w:tcPr>
            <w:tcW w:w="783"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85</w:t>
            </w:r>
          </w:p>
        </w:tc>
        <w:tc>
          <w:tcPr>
            <w:tcW w:w="916"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9.198</w:t>
            </w:r>
          </w:p>
        </w:tc>
        <w:tc>
          <w:tcPr>
            <w:tcW w:w="813"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9.283</w:t>
            </w:r>
          </w:p>
        </w:tc>
        <w:tc>
          <w:tcPr>
            <w:tcW w:w="973" w:type="dxa"/>
            <w:tcBorders>
              <w:top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72</w:t>
            </w:r>
          </w:p>
        </w:tc>
        <w:tc>
          <w:tcPr>
            <w:tcW w:w="1184" w:type="dxa"/>
            <w:tcBorders>
              <w:top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9.355</w:t>
            </w:r>
          </w:p>
        </w:tc>
        <w:tc>
          <w:tcPr>
            <w:tcW w:w="1366" w:type="dxa"/>
            <w:tcBorders>
              <w:top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27.799</w:t>
            </w:r>
          </w:p>
        </w:tc>
      </w:tr>
      <w:tr w:rsidR="00E93A14" w:rsidRPr="0015043C" w:rsidTr="004B1E21">
        <w:trPr>
          <w:trHeight w:val="20"/>
        </w:trPr>
        <w:tc>
          <w:tcPr>
            <w:tcW w:w="600" w:type="dxa"/>
            <w:tcBorders>
              <w:top w:val="nil"/>
              <w:lef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lang w:val="en-US"/>
              </w:rPr>
            </w:pPr>
            <w:r w:rsidRPr="0015043C">
              <w:rPr>
                <w:rFonts w:ascii="Arial Narrow" w:hAnsi="Arial Narrow"/>
                <w:sz w:val="16"/>
                <w:szCs w:val="16"/>
              </w:rPr>
              <w:t>2005</w:t>
            </w:r>
          </w:p>
        </w:tc>
        <w:tc>
          <w:tcPr>
            <w:tcW w:w="762"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751</w:t>
            </w:r>
          </w:p>
        </w:tc>
        <w:tc>
          <w:tcPr>
            <w:tcW w:w="967"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19.628</w:t>
            </w:r>
          </w:p>
        </w:tc>
        <w:tc>
          <w:tcPr>
            <w:tcW w:w="774"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20.379</w:t>
            </w:r>
          </w:p>
        </w:tc>
        <w:tc>
          <w:tcPr>
            <w:tcW w:w="783"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108</w:t>
            </w:r>
          </w:p>
        </w:tc>
        <w:tc>
          <w:tcPr>
            <w:tcW w:w="916"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9.508</w:t>
            </w:r>
          </w:p>
        </w:tc>
        <w:tc>
          <w:tcPr>
            <w:tcW w:w="813" w:type="dxa"/>
            <w:tcBorders>
              <w:top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9.616</w:t>
            </w:r>
          </w:p>
        </w:tc>
        <w:tc>
          <w:tcPr>
            <w:tcW w:w="973" w:type="dxa"/>
            <w:tcBorders>
              <w:top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71</w:t>
            </w:r>
          </w:p>
        </w:tc>
        <w:tc>
          <w:tcPr>
            <w:tcW w:w="1184" w:type="dxa"/>
            <w:tcBorders>
              <w:top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9.687</w:t>
            </w:r>
          </w:p>
        </w:tc>
        <w:tc>
          <w:tcPr>
            <w:tcW w:w="1366" w:type="dxa"/>
            <w:tcBorders>
              <w:top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30.066</w:t>
            </w:r>
          </w:p>
        </w:tc>
      </w:tr>
      <w:tr w:rsidR="00E93A14" w:rsidRPr="0015043C" w:rsidTr="004B1E21">
        <w:trPr>
          <w:trHeight w:val="20"/>
        </w:trPr>
        <w:tc>
          <w:tcPr>
            <w:tcW w:w="600" w:type="dxa"/>
            <w:tcBorders>
              <w:lef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lang w:val="en-US"/>
              </w:rPr>
            </w:pPr>
            <w:r w:rsidRPr="0015043C">
              <w:rPr>
                <w:rFonts w:ascii="Arial Narrow" w:hAnsi="Arial Narrow"/>
                <w:sz w:val="16"/>
                <w:szCs w:val="16"/>
                <w:lang w:val="en-US"/>
              </w:rPr>
              <w:t>2006</w:t>
            </w:r>
          </w:p>
        </w:tc>
        <w:tc>
          <w:tcPr>
            <w:tcW w:w="762"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65</w:t>
            </w:r>
          </w:p>
        </w:tc>
        <w:tc>
          <w:tcPr>
            <w:tcW w:w="967"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16.524</w:t>
            </w:r>
          </w:p>
        </w:tc>
        <w:tc>
          <w:tcPr>
            <w:tcW w:w="774"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16.589</w:t>
            </w:r>
          </w:p>
        </w:tc>
        <w:tc>
          <w:tcPr>
            <w:tcW w:w="78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92</w:t>
            </w:r>
          </w:p>
        </w:tc>
        <w:tc>
          <w:tcPr>
            <w:tcW w:w="916"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9.349</w:t>
            </w:r>
          </w:p>
        </w:tc>
        <w:tc>
          <w:tcPr>
            <w:tcW w:w="81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9.441</w:t>
            </w:r>
          </w:p>
        </w:tc>
        <w:tc>
          <w:tcPr>
            <w:tcW w:w="973" w:type="dxa"/>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56</w:t>
            </w:r>
          </w:p>
        </w:tc>
        <w:tc>
          <w:tcPr>
            <w:tcW w:w="1184" w:type="dxa"/>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9.497</w:t>
            </w:r>
          </w:p>
        </w:tc>
        <w:tc>
          <w:tcPr>
            <w:tcW w:w="1366" w:type="dxa"/>
            <w:tcBorders>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26.086</w:t>
            </w:r>
          </w:p>
        </w:tc>
      </w:tr>
      <w:tr w:rsidR="00E93A14" w:rsidRPr="0015043C" w:rsidTr="004B1E21">
        <w:trPr>
          <w:trHeight w:val="20"/>
        </w:trPr>
        <w:tc>
          <w:tcPr>
            <w:tcW w:w="600" w:type="dxa"/>
            <w:tcBorders>
              <w:lef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lang w:val="en-US"/>
              </w:rPr>
            </w:pPr>
            <w:r w:rsidRPr="0015043C">
              <w:rPr>
                <w:rFonts w:ascii="Arial Narrow" w:hAnsi="Arial Narrow"/>
                <w:sz w:val="16"/>
                <w:szCs w:val="16"/>
                <w:lang w:val="en-US"/>
              </w:rPr>
              <w:t>2007</w:t>
            </w:r>
          </w:p>
        </w:tc>
        <w:tc>
          <w:tcPr>
            <w:tcW w:w="762"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43</w:t>
            </w:r>
          </w:p>
        </w:tc>
        <w:tc>
          <w:tcPr>
            <w:tcW w:w="967"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22.152</w:t>
            </w:r>
          </w:p>
        </w:tc>
        <w:tc>
          <w:tcPr>
            <w:tcW w:w="774"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22.195</w:t>
            </w:r>
          </w:p>
        </w:tc>
        <w:tc>
          <w:tcPr>
            <w:tcW w:w="78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74</w:t>
            </w:r>
          </w:p>
        </w:tc>
        <w:tc>
          <w:tcPr>
            <w:tcW w:w="916"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9.583</w:t>
            </w:r>
          </w:p>
        </w:tc>
        <w:tc>
          <w:tcPr>
            <w:tcW w:w="81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9.657</w:t>
            </w:r>
          </w:p>
        </w:tc>
        <w:tc>
          <w:tcPr>
            <w:tcW w:w="973" w:type="dxa"/>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71</w:t>
            </w:r>
          </w:p>
        </w:tc>
        <w:tc>
          <w:tcPr>
            <w:tcW w:w="1184" w:type="dxa"/>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9.728</w:t>
            </w:r>
          </w:p>
        </w:tc>
        <w:tc>
          <w:tcPr>
            <w:tcW w:w="1366" w:type="dxa"/>
            <w:tcBorders>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31.923</w:t>
            </w:r>
          </w:p>
        </w:tc>
      </w:tr>
      <w:tr w:rsidR="00E93A14" w:rsidRPr="0015043C" w:rsidTr="004B1E21">
        <w:trPr>
          <w:trHeight w:val="20"/>
        </w:trPr>
        <w:tc>
          <w:tcPr>
            <w:tcW w:w="600" w:type="dxa"/>
            <w:tcBorders>
              <w:lef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sidRPr="0015043C">
              <w:rPr>
                <w:rFonts w:ascii="Arial Narrow" w:hAnsi="Arial Narrow"/>
                <w:sz w:val="16"/>
                <w:szCs w:val="16"/>
                <w:lang w:val="en-US"/>
              </w:rPr>
              <w:t>200</w:t>
            </w:r>
            <w:r w:rsidRPr="0015043C">
              <w:rPr>
                <w:rFonts w:ascii="Arial Narrow" w:hAnsi="Arial Narrow"/>
                <w:sz w:val="16"/>
                <w:szCs w:val="16"/>
              </w:rPr>
              <w:t>8</w:t>
            </w:r>
          </w:p>
        </w:tc>
        <w:tc>
          <w:tcPr>
            <w:tcW w:w="762"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424</w:t>
            </w:r>
          </w:p>
        </w:tc>
        <w:tc>
          <w:tcPr>
            <w:tcW w:w="967"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25.822</w:t>
            </w:r>
          </w:p>
        </w:tc>
        <w:tc>
          <w:tcPr>
            <w:tcW w:w="774"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26.246</w:t>
            </w:r>
          </w:p>
        </w:tc>
        <w:tc>
          <w:tcPr>
            <w:tcW w:w="78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82</w:t>
            </w:r>
          </w:p>
        </w:tc>
        <w:tc>
          <w:tcPr>
            <w:tcW w:w="916"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11.052</w:t>
            </w:r>
          </w:p>
        </w:tc>
        <w:tc>
          <w:tcPr>
            <w:tcW w:w="81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11.134</w:t>
            </w:r>
          </w:p>
        </w:tc>
        <w:tc>
          <w:tcPr>
            <w:tcW w:w="973" w:type="dxa"/>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72</w:t>
            </w:r>
          </w:p>
        </w:tc>
        <w:tc>
          <w:tcPr>
            <w:tcW w:w="1184" w:type="dxa"/>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11.206</w:t>
            </w:r>
          </w:p>
        </w:tc>
        <w:tc>
          <w:tcPr>
            <w:tcW w:w="1366" w:type="dxa"/>
            <w:tcBorders>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37.452</w:t>
            </w:r>
          </w:p>
        </w:tc>
      </w:tr>
      <w:tr w:rsidR="00E93A14" w:rsidRPr="0015043C" w:rsidTr="004B1E21">
        <w:trPr>
          <w:trHeight w:val="20"/>
        </w:trPr>
        <w:tc>
          <w:tcPr>
            <w:tcW w:w="600" w:type="dxa"/>
            <w:tcBorders>
              <w:lef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sidRPr="0015043C">
              <w:rPr>
                <w:rFonts w:ascii="Arial Narrow" w:hAnsi="Arial Narrow"/>
                <w:sz w:val="16"/>
                <w:szCs w:val="16"/>
              </w:rPr>
              <w:t>2009</w:t>
            </w:r>
          </w:p>
        </w:tc>
        <w:tc>
          <w:tcPr>
            <w:tcW w:w="762"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375</w:t>
            </w:r>
          </w:p>
        </w:tc>
        <w:tc>
          <w:tcPr>
            <w:tcW w:w="967"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28.760</w:t>
            </w:r>
          </w:p>
        </w:tc>
        <w:tc>
          <w:tcPr>
            <w:tcW w:w="774"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29.135</w:t>
            </w:r>
          </w:p>
        </w:tc>
        <w:tc>
          <w:tcPr>
            <w:tcW w:w="78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39</w:t>
            </w:r>
          </w:p>
        </w:tc>
        <w:tc>
          <w:tcPr>
            <w:tcW w:w="916"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12.145</w:t>
            </w:r>
          </w:p>
        </w:tc>
        <w:tc>
          <w:tcPr>
            <w:tcW w:w="81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12.184</w:t>
            </w:r>
          </w:p>
        </w:tc>
        <w:tc>
          <w:tcPr>
            <w:tcW w:w="973" w:type="dxa"/>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141</w:t>
            </w:r>
          </w:p>
        </w:tc>
        <w:tc>
          <w:tcPr>
            <w:tcW w:w="1184" w:type="dxa"/>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12.325</w:t>
            </w:r>
          </w:p>
        </w:tc>
        <w:tc>
          <w:tcPr>
            <w:tcW w:w="1366" w:type="dxa"/>
            <w:tcBorders>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41.460</w:t>
            </w:r>
          </w:p>
        </w:tc>
      </w:tr>
      <w:tr w:rsidR="00E93A14" w:rsidRPr="0015043C" w:rsidTr="004B1E21">
        <w:trPr>
          <w:trHeight w:val="20"/>
        </w:trPr>
        <w:tc>
          <w:tcPr>
            <w:tcW w:w="600" w:type="dxa"/>
            <w:tcBorders>
              <w:lef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Pr>
                <w:rFonts w:ascii="Arial Narrow" w:hAnsi="Arial Narrow"/>
                <w:sz w:val="16"/>
                <w:szCs w:val="16"/>
              </w:rPr>
              <w:t>2010</w:t>
            </w:r>
          </w:p>
        </w:tc>
        <w:tc>
          <w:tcPr>
            <w:tcW w:w="762"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159</w:t>
            </w:r>
          </w:p>
        </w:tc>
        <w:tc>
          <w:tcPr>
            <w:tcW w:w="967"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19.390</w:t>
            </w:r>
          </w:p>
        </w:tc>
        <w:tc>
          <w:tcPr>
            <w:tcW w:w="774"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19.549</w:t>
            </w:r>
          </w:p>
        </w:tc>
        <w:tc>
          <w:tcPr>
            <w:tcW w:w="78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104</w:t>
            </w:r>
          </w:p>
        </w:tc>
        <w:tc>
          <w:tcPr>
            <w:tcW w:w="916"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12.873</w:t>
            </w:r>
          </w:p>
        </w:tc>
        <w:tc>
          <w:tcPr>
            <w:tcW w:w="81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12.977</w:t>
            </w:r>
          </w:p>
        </w:tc>
        <w:tc>
          <w:tcPr>
            <w:tcW w:w="973" w:type="dxa"/>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246</w:t>
            </w:r>
          </w:p>
        </w:tc>
        <w:tc>
          <w:tcPr>
            <w:tcW w:w="1184" w:type="dxa"/>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13.223</w:t>
            </w:r>
          </w:p>
        </w:tc>
        <w:tc>
          <w:tcPr>
            <w:tcW w:w="1366" w:type="dxa"/>
            <w:tcBorders>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32.772</w:t>
            </w:r>
          </w:p>
        </w:tc>
      </w:tr>
      <w:tr w:rsidR="00E93A14" w:rsidRPr="0015043C" w:rsidTr="004B1E21">
        <w:trPr>
          <w:trHeight w:val="20"/>
        </w:trPr>
        <w:tc>
          <w:tcPr>
            <w:tcW w:w="600" w:type="dxa"/>
            <w:tcBorders>
              <w:left w:val="single" w:sz="4" w:space="0" w:color="auto"/>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Pr>
                <w:rFonts w:ascii="Arial Narrow" w:hAnsi="Arial Narrow"/>
                <w:sz w:val="16"/>
                <w:szCs w:val="16"/>
              </w:rPr>
              <w:t>2011</w:t>
            </w:r>
          </w:p>
        </w:tc>
        <w:tc>
          <w:tcPr>
            <w:tcW w:w="762"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-129</w:t>
            </w:r>
          </w:p>
        </w:tc>
        <w:tc>
          <w:tcPr>
            <w:tcW w:w="967"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28.976</w:t>
            </w:r>
          </w:p>
        </w:tc>
        <w:tc>
          <w:tcPr>
            <w:tcW w:w="774"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28.847</w:t>
            </w:r>
          </w:p>
        </w:tc>
        <w:tc>
          <w:tcPr>
            <w:tcW w:w="78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372</w:t>
            </w:r>
          </w:p>
        </w:tc>
        <w:tc>
          <w:tcPr>
            <w:tcW w:w="916"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15.758</w:t>
            </w:r>
          </w:p>
        </w:tc>
        <w:tc>
          <w:tcPr>
            <w:tcW w:w="81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16.130</w:t>
            </w:r>
          </w:p>
        </w:tc>
        <w:tc>
          <w:tcPr>
            <w:tcW w:w="973" w:type="dxa"/>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218</w:t>
            </w:r>
          </w:p>
        </w:tc>
        <w:tc>
          <w:tcPr>
            <w:tcW w:w="1184" w:type="dxa"/>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16.348</w:t>
            </w:r>
          </w:p>
        </w:tc>
        <w:tc>
          <w:tcPr>
            <w:tcW w:w="1366" w:type="dxa"/>
            <w:tcBorders>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45.195</w:t>
            </w:r>
          </w:p>
        </w:tc>
      </w:tr>
      <w:tr w:rsidR="00E93A14" w:rsidRPr="0015043C" w:rsidTr="004B1E21">
        <w:trPr>
          <w:trHeight w:val="20"/>
        </w:trPr>
        <w:tc>
          <w:tcPr>
            <w:tcW w:w="600" w:type="dxa"/>
            <w:tcBorders>
              <w:left w:val="single" w:sz="4" w:space="0" w:color="auto"/>
            </w:tcBorders>
            <w:shd w:val="clear" w:color="auto" w:fill="auto"/>
            <w:noWrap/>
            <w:tcMar>
              <w:left w:w="28" w:type="dxa"/>
              <w:right w:w="28" w:type="dxa"/>
            </w:tcMar>
            <w:vAlign w:val="bottom"/>
          </w:tcPr>
          <w:p w:rsidR="00E93A14" w:rsidRDefault="00E93A14" w:rsidP="004B1E21">
            <w:pPr>
              <w:jc w:val="center"/>
              <w:rPr>
                <w:rFonts w:ascii="Arial Narrow" w:hAnsi="Arial Narrow"/>
                <w:sz w:val="16"/>
                <w:szCs w:val="16"/>
              </w:rPr>
            </w:pPr>
            <w:r>
              <w:rPr>
                <w:rFonts w:ascii="Arial Narrow" w:hAnsi="Arial Narrow"/>
                <w:sz w:val="16"/>
                <w:szCs w:val="16"/>
              </w:rPr>
              <w:t>2012</w:t>
            </w:r>
          </w:p>
        </w:tc>
        <w:tc>
          <w:tcPr>
            <w:tcW w:w="762"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-1.353</w:t>
            </w:r>
          </w:p>
        </w:tc>
        <w:tc>
          <w:tcPr>
            <w:tcW w:w="967"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25.261</w:t>
            </w:r>
          </w:p>
        </w:tc>
        <w:tc>
          <w:tcPr>
            <w:tcW w:w="774"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23.908</w:t>
            </w:r>
          </w:p>
        </w:tc>
        <w:tc>
          <w:tcPr>
            <w:tcW w:w="78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603</w:t>
            </w:r>
          </w:p>
        </w:tc>
        <w:tc>
          <w:tcPr>
            <w:tcW w:w="916"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11.530</w:t>
            </w:r>
          </w:p>
        </w:tc>
        <w:tc>
          <w:tcPr>
            <w:tcW w:w="81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12.133</w:t>
            </w:r>
          </w:p>
        </w:tc>
        <w:tc>
          <w:tcPr>
            <w:tcW w:w="973" w:type="dxa"/>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631</w:t>
            </w:r>
          </w:p>
        </w:tc>
        <w:tc>
          <w:tcPr>
            <w:tcW w:w="1184" w:type="dxa"/>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12.764</w:t>
            </w:r>
          </w:p>
        </w:tc>
        <w:tc>
          <w:tcPr>
            <w:tcW w:w="1366" w:type="dxa"/>
            <w:tcBorders>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36.672</w:t>
            </w:r>
          </w:p>
        </w:tc>
      </w:tr>
      <w:tr w:rsidR="00E93A14" w:rsidRPr="0015043C" w:rsidTr="004B1E21">
        <w:trPr>
          <w:trHeight w:val="20"/>
        </w:trPr>
        <w:tc>
          <w:tcPr>
            <w:tcW w:w="600" w:type="dxa"/>
            <w:tcBorders>
              <w:left w:val="single" w:sz="4" w:space="0" w:color="auto"/>
            </w:tcBorders>
            <w:shd w:val="clear" w:color="auto" w:fill="auto"/>
            <w:noWrap/>
            <w:tcMar>
              <w:left w:w="28" w:type="dxa"/>
              <w:right w:w="28" w:type="dxa"/>
            </w:tcMar>
            <w:vAlign w:val="bottom"/>
          </w:tcPr>
          <w:p w:rsidR="00E93A14" w:rsidRDefault="00E93A14" w:rsidP="004B1E21">
            <w:pPr>
              <w:jc w:val="center"/>
              <w:rPr>
                <w:rFonts w:ascii="Arial Narrow" w:hAnsi="Arial Narrow"/>
                <w:sz w:val="16"/>
                <w:szCs w:val="16"/>
              </w:rPr>
            </w:pPr>
            <w:r>
              <w:rPr>
                <w:rFonts w:ascii="Arial Narrow" w:hAnsi="Arial Narrow"/>
                <w:sz w:val="16"/>
                <w:szCs w:val="16"/>
              </w:rPr>
              <w:t>2013</w:t>
            </w:r>
          </w:p>
        </w:tc>
        <w:tc>
          <w:tcPr>
            <w:tcW w:w="762"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2.110</w:t>
            </w:r>
          </w:p>
        </w:tc>
        <w:tc>
          <w:tcPr>
            <w:tcW w:w="967"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10.647</w:t>
            </w:r>
          </w:p>
        </w:tc>
        <w:tc>
          <w:tcPr>
            <w:tcW w:w="774"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12.757</w:t>
            </w:r>
          </w:p>
        </w:tc>
        <w:tc>
          <w:tcPr>
            <w:tcW w:w="78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848</w:t>
            </w:r>
          </w:p>
        </w:tc>
        <w:tc>
          <w:tcPr>
            <w:tcW w:w="916"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5.173</w:t>
            </w:r>
          </w:p>
        </w:tc>
        <w:tc>
          <w:tcPr>
            <w:tcW w:w="81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6.021</w:t>
            </w:r>
          </w:p>
        </w:tc>
        <w:tc>
          <w:tcPr>
            <w:tcW w:w="973" w:type="dxa"/>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150</w:t>
            </w:r>
          </w:p>
        </w:tc>
        <w:tc>
          <w:tcPr>
            <w:tcW w:w="1184" w:type="dxa"/>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6.171</w:t>
            </w:r>
          </w:p>
        </w:tc>
        <w:tc>
          <w:tcPr>
            <w:tcW w:w="1366" w:type="dxa"/>
            <w:tcBorders>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18.928</w:t>
            </w:r>
          </w:p>
        </w:tc>
      </w:tr>
      <w:tr w:rsidR="00E93A14" w:rsidRPr="0015043C" w:rsidTr="004B1E21">
        <w:trPr>
          <w:trHeight w:val="20"/>
        </w:trPr>
        <w:tc>
          <w:tcPr>
            <w:tcW w:w="600" w:type="dxa"/>
            <w:tcBorders>
              <w:left w:val="single" w:sz="4" w:space="0" w:color="auto"/>
            </w:tcBorders>
            <w:shd w:val="clear" w:color="auto" w:fill="auto"/>
            <w:noWrap/>
            <w:tcMar>
              <w:left w:w="28" w:type="dxa"/>
              <w:right w:w="28" w:type="dxa"/>
            </w:tcMar>
            <w:vAlign w:val="bottom"/>
          </w:tcPr>
          <w:p w:rsidR="00E93A14" w:rsidRDefault="00E93A14" w:rsidP="004B1E21">
            <w:pPr>
              <w:jc w:val="center"/>
              <w:rPr>
                <w:rFonts w:ascii="Arial Narrow" w:hAnsi="Arial Narrow"/>
                <w:sz w:val="16"/>
                <w:szCs w:val="16"/>
              </w:rPr>
            </w:pPr>
            <w:r>
              <w:rPr>
                <w:rFonts w:ascii="Arial Narrow" w:hAnsi="Arial Narrow"/>
                <w:sz w:val="16"/>
                <w:szCs w:val="16"/>
              </w:rPr>
              <w:t>2014</w:t>
            </w:r>
          </w:p>
        </w:tc>
        <w:tc>
          <w:tcPr>
            <w:tcW w:w="762"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2.367</w:t>
            </w:r>
          </w:p>
        </w:tc>
        <w:tc>
          <w:tcPr>
            <w:tcW w:w="967"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22.453</w:t>
            </w:r>
          </w:p>
        </w:tc>
        <w:tc>
          <w:tcPr>
            <w:tcW w:w="774"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24.820</w:t>
            </w:r>
          </w:p>
        </w:tc>
        <w:tc>
          <w:tcPr>
            <w:tcW w:w="78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955</w:t>
            </w:r>
          </w:p>
        </w:tc>
        <w:tc>
          <w:tcPr>
            <w:tcW w:w="916"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4.573</w:t>
            </w:r>
          </w:p>
        </w:tc>
        <w:tc>
          <w:tcPr>
            <w:tcW w:w="813" w:type="dxa"/>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5.528</w:t>
            </w:r>
          </w:p>
        </w:tc>
        <w:tc>
          <w:tcPr>
            <w:tcW w:w="973" w:type="dxa"/>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82</w:t>
            </w:r>
          </w:p>
        </w:tc>
        <w:tc>
          <w:tcPr>
            <w:tcW w:w="1184" w:type="dxa"/>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5.610</w:t>
            </w:r>
          </w:p>
        </w:tc>
        <w:tc>
          <w:tcPr>
            <w:tcW w:w="1366" w:type="dxa"/>
            <w:tcBorders>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30.430</w:t>
            </w:r>
          </w:p>
        </w:tc>
      </w:tr>
      <w:tr w:rsidR="00E93A14" w:rsidRPr="0015043C" w:rsidTr="004B1E21">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Pr="0015043C" w:rsidRDefault="00E93A14" w:rsidP="004B1E21">
            <w:pPr>
              <w:jc w:val="center"/>
              <w:rPr>
                <w:rFonts w:ascii="Arial Narrow" w:hAnsi="Arial Narrow"/>
                <w:sz w:val="16"/>
                <w:szCs w:val="16"/>
              </w:rPr>
            </w:pPr>
            <w:r>
              <w:rPr>
                <w:rFonts w:ascii="Arial Narrow" w:hAnsi="Arial Narrow"/>
                <w:sz w:val="16"/>
                <w:szCs w:val="16"/>
              </w:rPr>
              <w:t>2015</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3.242</w:t>
            </w:r>
          </w:p>
        </w:tc>
        <w:tc>
          <w:tcPr>
            <w:tcW w:w="967"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23.981</w:t>
            </w:r>
          </w:p>
        </w:tc>
        <w:tc>
          <w:tcPr>
            <w:tcW w:w="774"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27.223</w:t>
            </w:r>
          </w:p>
        </w:tc>
        <w:tc>
          <w:tcPr>
            <w:tcW w:w="78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760</w:t>
            </w:r>
          </w:p>
        </w:tc>
        <w:tc>
          <w:tcPr>
            <w:tcW w:w="916"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5.040</w:t>
            </w:r>
          </w:p>
        </w:tc>
        <w:tc>
          <w:tcPr>
            <w:tcW w:w="81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5.800</w:t>
            </w:r>
          </w:p>
        </w:tc>
        <w:tc>
          <w:tcPr>
            <w:tcW w:w="973" w:type="dxa"/>
            <w:tcBorders>
              <w:top w:val="nil"/>
              <w:bottom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178</w:t>
            </w:r>
          </w:p>
        </w:tc>
        <w:tc>
          <w:tcPr>
            <w:tcW w:w="1184" w:type="dxa"/>
            <w:tcBorders>
              <w:top w:val="nil"/>
              <w:bottom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5.978</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33.201</w:t>
            </w:r>
          </w:p>
        </w:tc>
      </w:tr>
      <w:tr w:rsidR="00E93A14" w:rsidRPr="0015043C" w:rsidTr="004B1E21">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Default="00E93A14" w:rsidP="004B1E21">
            <w:pPr>
              <w:jc w:val="center"/>
              <w:rPr>
                <w:rFonts w:ascii="Arial Narrow" w:hAnsi="Arial Narrow"/>
                <w:sz w:val="16"/>
                <w:szCs w:val="16"/>
              </w:rPr>
            </w:pPr>
            <w:r>
              <w:rPr>
                <w:rFonts w:ascii="Arial Narrow" w:hAnsi="Arial Narrow"/>
                <w:sz w:val="16"/>
                <w:szCs w:val="16"/>
              </w:rPr>
              <w:t>2016</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1.159</w:t>
            </w:r>
          </w:p>
        </w:tc>
        <w:tc>
          <w:tcPr>
            <w:tcW w:w="967"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6.401</w:t>
            </w:r>
          </w:p>
        </w:tc>
        <w:tc>
          <w:tcPr>
            <w:tcW w:w="774"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7.560</w:t>
            </w:r>
          </w:p>
        </w:tc>
        <w:tc>
          <w:tcPr>
            <w:tcW w:w="78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426</w:t>
            </w:r>
          </w:p>
        </w:tc>
        <w:tc>
          <w:tcPr>
            <w:tcW w:w="916"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5.162</w:t>
            </w:r>
          </w:p>
        </w:tc>
        <w:tc>
          <w:tcPr>
            <w:tcW w:w="81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5.588</w:t>
            </w:r>
          </w:p>
        </w:tc>
        <w:tc>
          <w:tcPr>
            <w:tcW w:w="973" w:type="dxa"/>
            <w:tcBorders>
              <w:top w:val="nil"/>
              <w:bottom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55</w:t>
            </w:r>
          </w:p>
        </w:tc>
        <w:tc>
          <w:tcPr>
            <w:tcW w:w="1184" w:type="dxa"/>
            <w:tcBorders>
              <w:top w:val="nil"/>
              <w:bottom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5.643</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13.203</w:t>
            </w:r>
          </w:p>
        </w:tc>
      </w:tr>
      <w:tr w:rsidR="00E93A14" w:rsidRPr="0015043C" w:rsidTr="004B1E21">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Default="00E93A14" w:rsidP="004B1E21">
            <w:pPr>
              <w:jc w:val="center"/>
              <w:rPr>
                <w:rFonts w:ascii="Arial Narrow" w:hAnsi="Arial Narrow"/>
                <w:sz w:val="16"/>
                <w:szCs w:val="16"/>
              </w:rPr>
            </w:pPr>
            <w:r>
              <w:rPr>
                <w:rFonts w:ascii="Arial Narrow" w:hAnsi="Arial Narrow"/>
                <w:sz w:val="16"/>
                <w:szCs w:val="16"/>
              </w:rPr>
              <w:t>2017</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790</w:t>
            </w:r>
          </w:p>
        </w:tc>
        <w:tc>
          <w:tcPr>
            <w:tcW w:w="967"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94.575</w:t>
            </w:r>
          </w:p>
        </w:tc>
        <w:tc>
          <w:tcPr>
            <w:tcW w:w="774"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95.365</w:t>
            </w:r>
          </w:p>
        </w:tc>
        <w:tc>
          <w:tcPr>
            <w:tcW w:w="78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370</w:t>
            </w:r>
          </w:p>
        </w:tc>
        <w:tc>
          <w:tcPr>
            <w:tcW w:w="916"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5.838</w:t>
            </w:r>
          </w:p>
        </w:tc>
        <w:tc>
          <w:tcPr>
            <w:tcW w:w="813"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6.208</w:t>
            </w:r>
          </w:p>
        </w:tc>
        <w:tc>
          <w:tcPr>
            <w:tcW w:w="973" w:type="dxa"/>
            <w:tcBorders>
              <w:top w:val="nil"/>
              <w:bottom w:val="nil"/>
            </w:tcBorders>
            <w:shd w:val="clear" w:color="auto" w:fill="auto"/>
            <w:noWrap/>
            <w:tcMar>
              <w:left w:w="28" w:type="dxa"/>
              <w:right w:w="28" w:type="dxa"/>
            </w:tcMar>
            <w:vAlign w:val="bottom"/>
          </w:tcPr>
          <w:p w:rsidR="00E93A14" w:rsidRDefault="00E93A14" w:rsidP="004B1E21">
            <w:pPr>
              <w:ind w:right="340"/>
              <w:jc w:val="right"/>
              <w:rPr>
                <w:rFonts w:ascii="Arial Narrow" w:hAnsi="Arial Narrow" w:cs="Arial"/>
                <w:sz w:val="16"/>
                <w:szCs w:val="16"/>
              </w:rPr>
            </w:pPr>
            <w:r>
              <w:rPr>
                <w:rFonts w:ascii="Arial Narrow" w:hAnsi="Arial Narrow" w:cs="Arial"/>
                <w:sz w:val="16"/>
                <w:szCs w:val="16"/>
              </w:rPr>
              <w:t>69</w:t>
            </w:r>
          </w:p>
        </w:tc>
        <w:tc>
          <w:tcPr>
            <w:tcW w:w="1184" w:type="dxa"/>
            <w:tcBorders>
              <w:top w:val="nil"/>
              <w:bottom w:val="nil"/>
            </w:tcBorders>
            <w:shd w:val="clear" w:color="auto" w:fill="auto"/>
            <w:noWrap/>
            <w:tcMar>
              <w:left w:w="28" w:type="dxa"/>
              <w:right w:w="28" w:type="dxa"/>
            </w:tcMar>
            <w:vAlign w:val="bottom"/>
          </w:tcPr>
          <w:p w:rsidR="00E93A14" w:rsidRDefault="00E93A14" w:rsidP="004B1E21">
            <w:pPr>
              <w:ind w:right="397"/>
              <w:jc w:val="right"/>
              <w:rPr>
                <w:rFonts w:ascii="Arial Narrow" w:hAnsi="Arial Narrow" w:cs="Arial"/>
                <w:sz w:val="16"/>
                <w:szCs w:val="16"/>
              </w:rPr>
            </w:pPr>
            <w:r>
              <w:rPr>
                <w:rFonts w:ascii="Arial Narrow" w:hAnsi="Arial Narrow" w:cs="Arial"/>
                <w:sz w:val="16"/>
                <w:szCs w:val="16"/>
              </w:rPr>
              <w:t>6.277</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E93A14" w:rsidP="004B1E21">
            <w:pPr>
              <w:ind w:right="454"/>
              <w:jc w:val="right"/>
              <w:rPr>
                <w:rFonts w:ascii="Arial Narrow" w:hAnsi="Arial Narrow" w:cs="Arial"/>
                <w:sz w:val="16"/>
                <w:szCs w:val="16"/>
              </w:rPr>
            </w:pPr>
            <w:r>
              <w:rPr>
                <w:rFonts w:ascii="Arial Narrow" w:hAnsi="Arial Narrow" w:cs="Arial"/>
                <w:sz w:val="16"/>
                <w:szCs w:val="16"/>
              </w:rPr>
              <w:t>101.642</w:t>
            </w:r>
          </w:p>
        </w:tc>
      </w:tr>
      <w:tr w:rsidR="00E93A14" w:rsidRPr="0015043C" w:rsidTr="00E93A14">
        <w:trPr>
          <w:trHeight w:val="20"/>
        </w:trPr>
        <w:tc>
          <w:tcPr>
            <w:tcW w:w="600" w:type="dxa"/>
            <w:tcBorders>
              <w:top w:val="nil"/>
              <w:left w:val="single" w:sz="4" w:space="0" w:color="auto"/>
              <w:bottom w:val="nil"/>
            </w:tcBorders>
            <w:shd w:val="clear" w:color="auto" w:fill="auto"/>
            <w:noWrap/>
            <w:tcMar>
              <w:left w:w="28" w:type="dxa"/>
              <w:right w:w="28" w:type="dxa"/>
            </w:tcMar>
            <w:vAlign w:val="bottom"/>
          </w:tcPr>
          <w:p w:rsidR="00E93A14" w:rsidRDefault="00E93A14" w:rsidP="004B1E21">
            <w:pPr>
              <w:jc w:val="center"/>
              <w:rPr>
                <w:rFonts w:ascii="Arial Narrow" w:hAnsi="Arial Narrow"/>
                <w:sz w:val="16"/>
                <w:szCs w:val="16"/>
              </w:rPr>
            </w:pPr>
            <w:r>
              <w:rPr>
                <w:rFonts w:ascii="Arial Narrow" w:hAnsi="Arial Narrow"/>
                <w:sz w:val="16"/>
                <w:szCs w:val="16"/>
              </w:rPr>
              <w:t>2018</w:t>
            </w:r>
          </w:p>
        </w:tc>
        <w:tc>
          <w:tcPr>
            <w:tcW w:w="762" w:type="dxa"/>
            <w:tcBorders>
              <w:top w:val="nil"/>
              <w:bottom w:val="nil"/>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1.325</w:t>
            </w:r>
          </w:p>
        </w:tc>
        <w:tc>
          <w:tcPr>
            <w:tcW w:w="967" w:type="dxa"/>
            <w:tcBorders>
              <w:top w:val="nil"/>
              <w:bottom w:val="nil"/>
            </w:tcBorders>
            <w:shd w:val="clear" w:color="auto" w:fill="auto"/>
            <w:noWrap/>
            <w:tcMar>
              <w:left w:w="28" w:type="dxa"/>
              <w:right w:w="28" w:type="dxa"/>
            </w:tcMar>
            <w:vAlign w:val="bottom"/>
          </w:tcPr>
          <w:p w:rsidR="00E93A14" w:rsidRDefault="00D802FE" w:rsidP="004B1E21">
            <w:pPr>
              <w:ind w:right="170"/>
              <w:jc w:val="right"/>
              <w:rPr>
                <w:rFonts w:ascii="Arial Narrow" w:hAnsi="Arial Narrow" w:cs="Arial"/>
                <w:sz w:val="16"/>
                <w:szCs w:val="16"/>
              </w:rPr>
            </w:pPr>
            <w:r>
              <w:rPr>
                <w:rFonts w:ascii="Arial Narrow" w:hAnsi="Arial Narrow" w:cs="Arial"/>
                <w:sz w:val="16"/>
                <w:szCs w:val="16"/>
              </w:rPr>
              <w:t>6.264</w:t>
            </w:r>
          </w:p>
        </w:tc>
        <w:tc>
          <w:tcPr>
            <w:tcW w:w="774" w:type="dxa"/>
            <w:tcBorders>
              <w:top w:val="nil"/>
              <w:bottom w:val="nil"/>
            </w:tcBorders>
            <w:shd w:val="clear" w:color="auto" w:fill="auto"/>
            <w:noWrap/>
            <w:tcMar>
              <w:left w:w="28" w:type="dxa"/>
              <w:right w:w="28" w:type="dxa"/>
            </w:tcMar>
            <w:vAlign w:val="bottom"/>
          </w:tcPr>
          <w:p w:rsidR="00E93A14" w:rsidRDefault="00D802FE" w:rsidP="004B1E21">
            <w:pPr>
              <w:ind w:right="170"/>
              <w:jc w:val="right"/>
              <w:rPr>
                <w:rFonts w:ascii="Arial Narrow" w:hAnsi="Arial Narrow" w:cs="Arial"/>
                <w:sz w:val="16"/>
                <w:szCs w:val="16"/>
              </w:rPr>
            </w:pPr>
            <w:r>
              <w:rPr>
                <w:rFonts w:ascii="Arial Narrow" w:hAnsi="Arial Narrow" w:cs="Arial"/>
                <w:sz w:val="16"/>
                <w:szCs w:val="16"/>
              </w:rPr>
              <w:t>7.589</w:t>
            </w:r>
          </w:p>
        </w:tc>
        <w:tc>
          <w:tcPr>
            <w:tcW w:w="783" w:type="dxa"/>
            <w:tcBorders>
              <w:top w:val="nil"/>
              <w:bottom w:val="nil"/>
            </w:tcBorders>
            <w:shd w:val="clear" w:color="auto" w:fill="auto"/>
            <w:noWrap/>
            <w:tcMar>
              <w:left w:w="28" w:type="dxa"/>
              <w:right w:w="28" w:type="dxa"/>
            </w:tcMar>
            <w:vAlign w:val="bottom"/>
          </w:tcPr>
          <w:p w:rsidR="00E93A14" w:rsidRDefault="00D802FE" w:rsidP="004B1E21">
            <w:pPr>
              <w:ind w:right="170"/>
              <w:jc w:val="right"/>
              <w:rPr>
                <w:rFonts w:ascii="Arial Narrow" w:hAnsi="Arial Narrow" w:cs="Arial"/>
                <w:sz w:val="16"/>
                <w:szCs w:val="16"/>
              </w:rPr>
            </w:pPr>
            <w:r>
              <w:rPr>
                <w:rFonts w:ascii="Arial Narrow" w:hAnsi="Arial Narrow" w:cs="Arial"/>
                <w:sz w:val="16"/>
                <w:szCs w:val="16"/>
              </w:rPr>
              <w:t>342</w:t>
            </w:r>
          </w:p>
        </w:tc>
        <w:tc>
          <w:tcPr>
            <w:tcW w:w="916" w:type="dxa"/>
            <w:tcBorders>
              <w:top w:val="nil"/>
              <w:bottom w:val="nil"/>
            </w:tcBorders>
            <w:shd w:val="clear" w:color="auto" w:fill="auto"/>
            <w:noWrap/>
            <w:tcMar>
              <w:left w:w="28" w:type="dxa"/>
              <w:right w:w="28" w:type="dxa"/>
            </w:tcMar>
            <w:vAlign w:val="bottom"/>
          </w:tcPr>
          <w:p w:rsidR="00E93A14" w:rsidRDefault="007456A5" w:rsidP="004B1E21">
            <w:pPr>
              <w:ind w:right="170"/>
              <w:jc w:val="right"/>
              <w:rPr>
                <w:rFonts w:ascii="Arial Narrow" w:hAnsi="Arial Narrow" w:cs="Arial"/>
                <w:sz w:val="16"/>
                <w:szCs w:val="16"/>
              </w:rPr>
            </w:pPr>
            <w:r>
              <w:rPr>
                <w:rFonts w:ascii="Arial Narrow" w:hAnsi="Arial Narrow" w:cs="Arial"/>
                <w:sz w:val="16"/>
                <w:szCs w:val="16"/>
              </w:rPr>
              <w:t>5.212</w:t>
            </w:r>
          </w:p>
        </w:tc>
        <w:tc>
          <w:tcPr>
            <w:tcW w:w="813" w:type="dxa"/>
            <w:tcBorders>
              <w:top w:val="nil"/>
              <w:bottom w:val="nil"/>
            </w:tcBorders>
            <w:shd w:val="clear" w:color="auto" w:fill="auto"/>
            <w:noWrap/>
            <w:tcMar>
              <w:left w:w="28" w:type="dxa"/>
              <w:right w:w="28" w:type="dxa"/>
            </w:tcMar>
            <w:vAlign w:val="bottom"/>
          </w:tcPr>
          <w:p w:rsidR="00E93A14" w:rsidRDefault="007456A5" w:rsidP="004B1E21">
            <w:pPr>
              <w:ind w:right="170"/>
              <w:jc w:val="right"/>
              <w:rPr>
                <w:rFonts w:ascii="Arial Narrow" w:hAnsi="Arial Narrow" w:cs="Arial"/>
                <w:sz w:val="16"/>
                <w:szCs w:val="16"/>
              </w:rPr>
            </w:pPr>
            <w:r>
              <w:rPr>
                <w:rFonts w:ascii="Arial Narrow" w:hAnsi="Arial Narrow" w:cs="Arial"/>
                <w:sz w:val="16"/>
                <w:szCs w:val="16"/>
              </w:rPr>
              <w:t>5.554</w:t>
            </w:r>
          </w:p>
        </w:tc>
        <w:tc>
          <w:tcPr>
            <w:tcW w:w="973" w:type="dxa"/>
            <w:tcBorders>
              <w:top w:val="nil"/>
              <w:bottom w:val="nil"/>
            </w:tcBorders>
            <w:shd w:val="clear" w:color="auto" w:fill="auto"/>
            <w:noWrap/>
            <w:tcMar>
              <w:left w:w="28" w:type="dxa"/>
              <w:right w:w="28" w:type="dxa"/>
            </w:tcMar>
            <w:vAlign w:val="bottom"/>
          </w:tcPr>
          <w:p w:rsidR="00E93A14" w:rsidRDefault="007456A5" w:rsidP="004B1E21">
            <w:pPr>
              <w:ind w:right="340"/>
              <w:jc w:val="right"/>
              <w:rPr>
                <w:rFonts w:ascii="Arial Narrow" w:hAnsi="Arial Narrow" w:cs="Arial"/>
                <w:sz w:val="16"/>
                <w:szCs w:val="16"/>
              </w:rPr>
            </w:pPr>
            <w:r>
              <w:rPr>
                <w:rFonts w:ascii="Arial Narrow" w:hAnsi="Arial Narrow" w:cs="Arial"/>
                <w:sz w:val="16"/>
                <w:szCs w:val="16"/>
              </w:rPr>
              <w:t>139</w:t>
            </w:r>
          </w:p>
        </w:tc>
        <w:tc>
          <w:tcPr>
            <w:tcW w:w="1184" w:type="dxa"/>
            <w:tcBorders>
              <w:top w:val="nil"/>
              <w:bottom w:val="nil"/>
            </w:tcBorders>
            <w:shd w:val="clear" w:color="auto" w:fill="auto"/>
            <w:noWrap/>
            <w:tcMar>
              <w:left w:w="28" w:type="dxa"/>
              <w:right w:w="28" w:type="dxa"/>
            </w:tcMar>
            <w:vAlign w:val="bottom"/>
          </w:tcPr>
          <w:p w:rsidR="00E93A14" w:rsidRDefault="007456A5" w:rsidP="004B1E21">
            <w:pPr>
              <w:ind w:right="397"/>
              <w:jc w:val="right"/>
              <w:rPr>
                <w:rFonts w:ascii="Arial Narrow" w:hAnsi="Arial Narrow" w:cs="Arial"/>
                <w:sz w:val="16"/>
                <w:szCs w:val="16"/>
              </w:rPr>
            </w:pPr>
            <w:r>
              <w:rPr>
                <w:rFonts w:ascii="Arial Narrow" w:hAnsi="Arial Narrow" w:cs="Arial"/>
                <w:sz w:val="16"/>
                <w:szCs w:val="16"/>
              </w:rPr>
              <w:t>5.693</w:t>
            </w:r>
          </w:p>
        </w:tc>
        <w:tc>
          <w:tcPr>
            <w:tcW w:w="1366" w:type="dxa"/>
            <w:tcBorders>
              <w:top w:val="nil"/>
              <w:bottom w:val="nil"/>
              <w:right w:val="single" w:sz="4" w:space="0" w:color="auto"/>
            </w:tcBorders>
            <w:shd w:val="clear" w:color="auto" w:fill="auto"/>
            <w:noWrap/>
            <w:tcMar>
              <w:left w:w="28" w:type="dxa"/>
              <w:right w:w="28" w:type="dxa"/>
            </w:tcMar>
            <w:vAlign w:val="bottom"/>
          </w:tcPr>
          <w:p w:rsidR="00E93A14" w:rsidRDefault="001339BE" w:rsidP="004B1E21">
            <w:pPr>
              <w:ind w:right="454"/>
              <w:jc w:val="right"/>
              <w:rPr>
                <w:rFonts w:ascii="Arial Narrow" w:hAnsi="Arial Narrow" w:cs="Arial"/>
                <w:sz w:val="16"/>
                <w:szCs w:val="16"/>
              </w:rPr>
            </w:pPr>
            <w:r>
              <w:rPr>
                <w:rFonts w:ascii="Arial Narrow" w:hAnsi="Arial Narrow" w:cs="Arial"/>
                <w:sz w:val="16"/>
                <w:szCs w:val="16"/>
              </w:rPr>
              <w:t>13.282</w:t>
            </w:r>
          </w:p>
        </w:tc>
      </w:tr>
      <w:tr w:rsidR="00E93A14" w:rsidRPr="0015043C" w:rsidTr="004B1E21">
        <w:trPr>
          <w:trHeight w:val="20"/>
        </w:trPr>
        <w:tc>
          <w:tcPr>
            <w:tcW w:w="600" w:type="dxa"/>
            <w:tcBorders>
              <w:top w:val="nil"/>
              <w:left w:val="single" w:sz="4" w:space="0" w:color="auto"/>
              <w:bottom w:val="single" w:sz="4" w:space="0" w:color="auto"/>
            </w:tcBorders>
            <w:shd w:val="clear" w:color="auto" w:fill="auto"/>
            <w:noWrap/>
            <w:tcMar>
              <w:left w:w="28" w:type="dxa"/>
              <w:right w:w="28" w:type="dxa"/>
            </w:tcMar>
            <w:vAlign w:val="bottom"/>
          </w:tcPr>
          <w:p w:rsidR="00E93A14" w:rsidRDefault="00E93A14" w:rsidP="004B1E21">
            <w:pPr>
              <w:jc w:val="center"/>
              <w:rPr>
                <w:rFonts w:ascii="Arial Narrow" w:hAnsi="Arial Narrow"/>
                <w:sz w:val="16"/>
                <w:szCs w:val="16"/>
              </w:rPr>
            </w:pPr>
            <w:r>
              <w:rPr>
                <w:rFonts w:ascii="Arial Narrow" w:hAnsi="Arial Narrow"/>
                <w:sz w:val="16"/>
                <w:szCs w:val="16"/>
              </w:rPr>
              <w:t>2019*</w:t>
            </w:r>
          </w:p>
        </w:tc>
        <w:tc>
          <w:tcPr>
            <w:tcW w:w="762" w:type="dxa"/>
            <w:tcBorders>
              <w:top w:val="nil"/>
              <w:bottom w:val="single" w:sz="4" w:space="0" w:color="auto"/>
            </w:tcBorders>
            <w:shd w:val="clear" w:color="auto" w:fill="auto"/>
            <w:noWrap/>
            <w:tcMar>
              <w:left w:w="28" w:type="dxa"/>
              <w:right w:w="28" w:type="dxa"/>
            </w:tcMar>
            <w:vAlign w:val="bottom"/>
          </w:tcPr>
          <w:p w:rsidR="00E93A14" w:rsidRDefault="00E93A14" w:rsidP="004B1E21">
            <w:pPr>
              <w:ind w:right="170"/>
              <w:jc w:val="right"/>
              <w:rPr>
                <w:rFonts w:ascii="Arial Narrow" w:hAnsi="Arial Narrow" w:cs="Arial"/>
                <w:sz w:val="16"/>
                <w:szCs w:val="16"/>
              </w:rPr>
            </w:pPr>
            <w:r>
              <w:rPr>
                <w:rFonts w:ascii="Arial Narrow" w:hAnsi="Arial Narrow" w:cs="Arial"/>
                <w:sz w:val="16"/>
                <w:szCs w:val="16"/>
              </w:rPr>
              <w:t>3.895</w:t>
            </w:r>
          </w:p>
        </w:tc>
        <w:tc>
          <w:tcPr>
            <w:tcW w:w="967" w:type="dxa"/>
            <w:tcBorders>
              <w:top w:val="nil"/>
              <w:bottom w:val="single" w:sz="4" w:space="0" w:color="auto"/>
            </w:tcBorders>
            <w:shd w:val="clear" w:color="auto" w:fill="auto"/>
            <w:noWrap/>
            <w:tcMar>
              <w:left w:w="28" w:type="dxa"/>
              <w:right w:w="28" w:type="dxa"/>
            </w:tcMar>
            <w:vAlign w:val="bottom"/>
          </w:tcPr>
          <w:p w:rsidR="00E93A14" w:rsidRDefault="00D802FE" w:rsidP="004B1E21">
            <w:pPr>
              <w:ind w:right="170"/>
              <w:jc w:val="right"/>
              <w:rPr>
                <w:rFonts w:ascii="Arial Narrow" w:hAnsi="Arial Narrow" w:cs="Arial"/>
                <w:sz w:val="16"/>
                <w:szCs w:val="16"/>
              </w:rPr>
            </w:pPr>
            <w:r>
              <w:rPr>
                <w:rFonts w:ascii="Arial Narrow" w:hAnsi="Arial Narrow" w:cs="Arial"/>
                <w:sz w:val="16"/>
                <w:szCs w:val="16"/>
              </w:rPr>
              <w:t>14.045</w:t>
            </w:r>
          </w:p>
        </w:tc>
        <w:tc>
          <w:tcPr>
            <w:tcW w:w="774" w:type="dxa"/>
            <w:tcBorders>
              <w:top w:val="nil"/>
              <w:bottom w:val="single" w:sz="4" w:space="0" w:color="auto"/>
            </w:tcBorders>
            <w:shd w:val="clear" w:color="auto" w:fill="auto"/>
            <w:noWrap/>
            <w:tcMar>
              <w:left w:w="28" w:type="dxa"/>
              <w:right w:w="28" w:type="dxa"/>
            </w:tcMar>
            <w:vAlign w:val="bottom"/>
          </w:tcPr>
          <w:p w:rsidR="00E93A14" w:rsidRDefault="00D802FE" w:rsidP="004B1E21">
            <w:pPr>
              <w:ind w:right="170"/>
              <w:jc w:val="right"/>
              <w:rPr>
                <w:rFonts w:ascii="Arial Narrow" w:hAnsi="Arial Narrow" w:cs="Arial"/>
                <w:sz w:val="16"/>
                <w:szCs w:val="16"/>
              </w:rPr>
            </w:pPr>
            <w:r>
              <w:rPr>
                <w:rFonts w:ascii="Arial Narrow" w:hAnsi="Arial Narrow" w:cs="Arial"/>
                <w:sz w:val="16"/>
                <w:szCs w:val="16"/>
              </w:rPr>
              <w:t>17.940</w:t>
            </w:r>
          </w:p>
        </w:tc>
        <w:tc>
          <w:tcPr>
            <w:tcW w:w="783" w:type="dxa"/>
            <w:tcBorders>
              <w:top w:val="nil"/>
              <w:bottom w:val="single" w:sz="4" w:space="0" w:color="auto"/>
            </w:tcBorders>
            <w:shd w:val="clear" w:color="auto" w:fill="auto"/>
            <w:noWrap/>
            <w:tcMar>
              <w:left w:w="28" w:type="dxa"/>
              <w:right w:w="28" w:type="dxa"/>
            </w:tcMar>
            <w:vAlign w:val="bottom"/>
          </w:tcPr>
          <w:p w:rsidR="00E93A14" w:rsidRDefault="00D802FE" w:rsidP="004B1E21">
            <w:pPr>
              <w:ind w:right="170"/>
              <w:jc w:val="right"/>
              <w:rPr>
                <w:rFonts w:ascii="Arial Narrow" w:hAnsi="Arial Narrow" w:cs="Arial"/>
                <w:sz w:val="16"/>
                <w:szCs w:val="16"/>
              </w:rPr>
            </w:pPr>
            <w:r>
              <w:rPr>
                <w:rFonts w:ascii="Arial Narrow" w:hAnsi="Arial Narrow" w:cs="Arial"/>
                <w:sz w:val="16"/>
                <w:szCs w:val="16"/>
              </w:rPr>
              <w:t>280</w:t>
            </w:r>
          </w:p>
        </w:tc>
        <w:tc>
          <w:tcPr>
            <w:tcW w:w="916" w:type="dxa"/>
            <w:tcBorders>
              <w:top w:val="nil"/>
              <w:bottom w:val="single" w:sz="4" w:space="0" w:color="auto"/>
            </w:tcBorders>
            <w:shd w:val="clear" w:color="auto" w:fill="auto"/>
            <w:noWrap/>
            <w:tcMar>
              <w:left w:w="28" w:type="dxa"/>
              <w:right w:w="28" w:type="dxa"/>
            </w:tcMar>
            <w:vAlign w:val="bottom"/>
          </w:tcPr>
          <w:p w:rsidR="00E93A14" w:rsidRDefault="007456A5" w:rsidP="004B1E21">
            <w:pPr>
              <w:ind w:right="170"/>
              <w:jc w:val="right"/>
              <w:rPr>
                <w:rFonts w:ascii="Arial Narrow" w:hAnsi="Arial Narrow" w:cs="Arial"/>
                <w:sz w:val="16"/>
                <w:szCs w:val="16"/>
              </w:rPr>
            </w:pPr>
            <w:r>
              <w:rPr>
                <w:rFonts w:ascii="Arial Narrow" w:hAnsi="Arial Narrow" w:cs="Arial"/>
                <w:sz w:val="16"/>
                <w:szCs w:val="16"/>
              </w:rPr>
              <w:t>5.780</w:t>
            </w:r>
          </w:p>
        </w:tc>
        <w:tc>
          <w:tcPr>
            <w:tcW w:w="813" w:type="dxa"/>
            <w:tcBorders>
              <w:top w:val="nil"/>
              <w:bottom w:val="single" w:sz="4" w:space="0" w:color="auto"/>
            </w:tcBorders>
            <w:shd w:val="clear" w:color="auto" w:fill="auto"/>
            <w:noWrap/>
            <w:tcMar>
              <w:left w:w="28" w:type="dxa"/>
              <w:right w:w="28" w:type="dxa"/>
            </w:tcMar>
            <w:vAlign w:val="bottom"/>
          </w:tcPr>
          <w:p w:rsidR="00E93A14" w:rsidRDefault="007456A5" w:rsidP="004B1E21">
            <w:pPr>
              <w:ind w:right="170"/>
              <w:jc w:val="right"/>
              <w:rPr>
                <w:rFonts w:ascii="Arial Narrow" w:hAnsi="Arial Narrow" w:cs="Arial"/>
                <w:sz w:val="16"/>
                <w:szCs w:val="16"/>
              </w:rPr>
            </w:pPr>
            <w:r>
              <w:rPr>
                <w:rFonts w:ascii="Arial Narrow" w:hAnsi="Arial Narrow" w:cs="Arial"/>
                <w:sz w:val="16"/>
                <w:szCs w:val="16"/>
              </w:rPr>
              <w:t>6.060</w:t>
            </w:r>
          </w:p>
        </w:tc>
        <w:tc>
          <w:tcPr>
            <w:tcW w:w="973" w:type="dxa"/>
            <w:tcBorders>
              <w:top w:val="nil"/>
              <w:bottom w:val="single" w:sz="4" w:space="0" w:color="auto"/>
            </w:tcBorders>
            <w:shd w:val="clear" w:color="auto" w:fill="auto"/>
            <w:noWrap/>
            <w:tcMar>
              <w:left w:w="28" w:type="dxa"/>
              <w:right w:w="28" w:type="dxa"/>
            </w:tcMar>
            <w:vAlign w:val="bottom"/>
          </w:tcPr>
          <w:p w:rsidR="00E93A14" w:rsidRDefault="007456A5" w:rsidP="004B1E21">
            <w:pPr>
              <w:ind w:right="340"/>
              <w:jc w:val="right"/>
              <w:rPr>
                <w:rFonts w:ascii="Arial Narrow" w:hAnsi="Arial Narrow" w:cs="Arial"/>
                <w:sz w:val="16"/>
                <w:szCs w:val="16"/>
              </w:rPr>
            </w:pPr>
            <w:r>
              <w:rPr>
                <w:rFonts w:ascii="Arial Narrow" w:hAnsi="Arial Narrow" w:cs="Arial"/>
                <w:sz w:val="16"/>
                <w:szCs w:val="16"/>
              </w:rPr>
              <w:t>40</w:t>
            </w:r>
          </w:p>
        </w:tc>
        <w:tc>
          <w:tcPr>
            <w:tcW w:w="1184" w:type="dxa"/>
            <w:tcBorders>
              <w:top w:val="nil"/>
              <w:bottom w:val="single" w:sz="4" w:space="0" w:color="auto"/>
            </w:tcBorders>
            <w:shd w:val="clear" w:color="auto" w:fill="auto"/>
            <w:noWrap/>
            <w:tcMar>
              <w:left w:w="28" w:type="dxa"/>
              <w:right w:w="28" w:type="dxa"/>
            </w:tcMar>
            <w:vAlign w:val="bottom"/>
          </w:tcPr>
          <w:p w:rsidR="00E93A14" w:rsidRDefault="007456A5" w:rsidP="004B1E21">
            <w:pPr>
              <w:ind w:right="397"/>
              <w:jc w:val="right"/>
              <w:rPr>
                <w:rFonts w:ascii="Arial Narrow" w:hAnsi="Arial Narrow" w:cs="Arial"/>
                <w:sz w:val="16"/>
                <w:szCs w:val="16"/>
              </w:rPr>
            </w:pPr>
            <w:r>
              <w:rPr>
                <w:rFonts w:ascii="Arial Narrow" w:hAnsi="Arial Narrow" w:cs="Arial"/>
                <w:sz w:val="16"/>
                <w:szCs w:val="16"/>
              </w:rPr>
              <w:t>6.100</w:t>
            </w:r>
          </w:p>
        </w:tc>
        <w:tc>
          <w:tcPr>
            <w:tcW w:w="1366" w:type="dxa"/>
            <w:tcBorders>
              <w:top w:val="nil"/>
              <w:bottom w:val="single" w:sz="4" w:space="0" w:color="auto"/>
              <w:right w:val="single" w:sz="4" w:space="0" w:color="auto"/>
            </w:tcBorders>
            <w:shd w:val="clear" w:color="auto" w:fill="auto"/>
            <w:noWrap/>
            <w:tcMar>
              <w:left w:w="28" w:type="dxa"/>
              <w:right w:w="28" w:type="dxa"/>
            </w:tcMar>
            <w:vAlign w:val="bottom"/>
          </w:tcPr>
          <w:p w:rsidR="00E93A14" w:rsidRDefault="001339BE" w:rsidP="004B1E21">
            <w:pPr>
              <w:ind w:right="454"/>
              <w:jc w:val="right"/>
              <w:rPr>
                <w:rFonts w:ascii="Arial Narrow" w:hAnsi="Arial Narrow" w:cs="Arial"/>
                <w:sz w:val="16"/>
                <w:szCs w:val="16"/>
              </w:rPr>
            </w:pPr>
            <w:r>
              <w:rPr>
                <w:rFonts w:ascii="Arial Narrow" w:hAnsi="Arial Narrow" w:cs="Arial"/>
                <w:sz w:val="16"/>
                <w:szCs w:val="16"/>
              </w:rPr>
              <w:t>24.040</w:t>
            </w:r>
          </w:p>
        </w:tc>
      </w:tr>
    </w:tbl>
    <w:p w:rsidR="00E93A14" w:rsidRPr="0015043C" w:rsidRDefault="00E93A14" w:rsidP="00E93A14">
      <w:pPr>
        <w:spacing w:line="235" w:lineRule="auto"/>
        <w:jc w:val="both"/>
        <w:rPr>
          <w:rFonts w:ascii="Arial Narrow" w:hAnsi="Arial Narrow"/>
          <w:sz w:val="16"/>
          <w:szCs w:val="16"/>
        </w:rPr>
      </w:pPr>
      <w:r w:rsidRPr="0015043C">
        <w:rPr>
          <w:rFonts w:ascii="Arial Narrow" w:hAnsi="Arial Narrow"/>
          <w:sz w:val="16"/>
          <w:szCs w:val="16"/>
        </w:rPr>
        <w:t>* Εκτιμήσεις</w:t>
      </w:r>
    </w:p>
    <w:p w:rsidR="00E93A14" w:rsidRPr="0015043C" w:rsidRDefault="00E93A14" w:rsidP="00E93A14">
      <w:pPr>
        <w:tabs>
          <w:tab w:val="left" w:pos="993"/>
          <w:tab w:val="left" w:pos="1260"/>
        </w:tabs>
        <w:spacing w:line="235" w:lineRule="auto"/>
        <w:jc w:val="both"/>
        <w:rPr>
          <w:rFonts w:ascii="Arial Narrow" w:hAnsi="Arial Narrow"/>
          <w:sz w:val="16"/>
          <w:szCs w:val="16"/>
        </w:rPr>
      </w:pPr>
      <w:r w:rsidRPr="0015043C">
        <w:rPr>
          <w:rFonts w:ascii="Arial Narrow" w:hAnsi="Arial Narrow"/>
          <w:sz w:val="16"/>
          <w:szCs w:val="16"/>
        </w:rPr>
        <w:t>Σημειώσεις:</w:t>
      </w:r>
      <w:r>
        <w:rPr>
          <w:rFonts w:ascii="Arial Narrow" w:hAnsi="Arial Narrow"/>
          <w:sz w:val="16"/>
          <w:szCs w:val="16"/>
        </w:rPr>
        <w:tab/>
      </w:r>
      <w:r w:rsidRPr="0015043C">
        <w:rPr>
          <w:rFonts w:ascii="Arial Narrow" w:hAnsi="Arial Narrow"/>
          <w:sz w:val="16"/>
          <w:szCs w:val="16"/>
        </w:rPr>
        <w:t>α)</w:t>
      </w:r>
      <w:r>
        <w:rPr>
          <w:rFonts w:ascii="Arial Narrow" w:hAnsi="Arial Narrow"/>
          <w:sz w:val="16"/>
          <w:szCs w:val="16"/>
        </w:rPr>
        <w:tab/>
      </w:r>
      <w:r w:rsidRPr="0015043C">
        <w:rPr>
          <w:rFonts w:ascii="Arial Narrow" w:hAnsi="Arial Narrow"/>
          <w:sz w:val="16"/>
          <w:szCs w:val="16"/>
        </w:rPr>
        <w:t xml:space="preserve">Από το 2008 και </w:t>
      </w:r>
      <w:r>
        <w:rPr>
          <w:rFonts w:ascii="Arial Narrow" w:hAnsi="Arial Narrow"/>
          <w:sz w:val="16"/>
          <w:szCs w:val="16"/>
        </w:rPr>
        <w:t>εξής</w:t>
      </w:r>
      <w:r w:rsidRPr="0015043C">
        <w:rPr>
          <w:rFonts w:ascii="Arial Narrow" w:hAnsi="Arial Narrow"/>
          <w:sz w:val="16"/>
          <w:szCs w:val="16"/>
        </w:rPr>
        <w:t xml:space="preserve"> περιλαμβάνονται και οι δαπάνες προσαρμογών ESA 95</w:t>
      </w:r>
      <w:r>
        <w:rPr>
          <w:rFonts w:ascii="Arial Narrow" w:hAnsi="Arial Narrow"/>
          <w:sz w:val="16"/>
          <w:szCs w:val="16"/>
        </w:rPr>
        <w:t>.</w:t>
      </w:r>
      <w:r w:rsidRPr="0015043C">
        <w:rPr>
          <w:rFonts w:ascii="Arial Narrow" w:hAnsi="Arial Narrow"/>
          <w:sz w:val="16"/>
          <w:szCs w:val="16"/>
        </w:rPr>
        <w:t xml:space="preserve"> </w:t>
      </w:r>
    </w:p>
    <w:p w:rsidR="00E93A14" w:rsidRDefault="00E93A14" w:rsidP="00E93A14">
      <w:pPr>
        <w:pStyle w:val="a8"/>
        <w:tabs>
          <w:tab w:val="clear" w:pos="1080"/>
          <w:tab w:val="left" w:pos="993"/>
        </w:tabs>
        <w:spacing w:line="235" w:lineRule="auto"/>
        <w:ind w:hanging="1260"/>
        <w:jc w:val="both"/>
      </w:pPr>
      <w:r>
        <w:tab/>
      </w:r>
      <w:r w:rsidRPr="0015043C">
        <w:t>β)</w:t>
      </w:r>
      <w:r>
        <w:tab/>
      </w:r>
      <w:r w:rsidRPr="0015043C">
        <w:t>Δεν περιλαμβάνονται εξοφλήσεις βραχυπρόθεσμου χρέους (έντοκα γραμμάτια ιδιωτικού τομέα, βραχυπρόθεσμοι τίτλοι εξωτερικού</w:t>
      </w:r>
      <w:r>
        <w:t>,</w:t>
      </w:r>
      <w:r w:rsidRPr="0015043C">
        <w:t xml:space="preserve"> ταμειακές διευκολύνσεις</w:t>
      </w:r>
      <w:r>
        <w:t xml:space="preserve"> και </w:t>
      </w:r>
      <w:r>
        <w:rPr>
          <w:lang w:val="en-GB"/>
        </w:rPr>
        <w:t>repos</w:t>
      </w:r>
      <w:r w:rsidRPr="0015043C">
        <w:t>)</w:t>
      </w:r>
      <w:r>
        <w:t>,</w:t>
      </w:r>
      <w:r w:rsidRPr="0015043C">
        <w:t xml:space="preserve"> οι ο</w:t>
      </w:r>
      <w:r>
        <w:t xml:space="preserve">ποίες εμφανίζονται στον </w:t>
      </w:r>
      <w:r w:rsidRPr="002D3D66">
        <w:t>πίνακα 4.8.</w:t>
      </w:r>
    </w:p>
    <w:p w:rsidR="00E93A14" w:rsidRDefault="00E93A14" w:rsidP="00E93A14">
      <w:pPr>
        <w:pStyle w:val="a8"/>
        <w:tabs>
          <w:tab w:val="clear" w:pos="1080"/>
          <w:tab w:val="left" w:pos="993"/>
        </w:tabs>
        <w:spacing w:line="235" w:lineRule="auto"/>
        <w:ind w:hanging="1260"/>
        <w:jc w:val="both"/>
      </w:pPr>
      <w:r>
        <w:tab/>
        <w:t>γ)</w:t>
      </w:r>
      <w:r>
        <w:tab/>
        <w:t>Από το 2012 στις παράλληλες δαπάνες περιλαμβάνονται και προμήθειες εκταμίευσης δανείων από το ΕΤΧΣ και ΕΜΣ</w:t>
      </w:r>
    </w:p>
    <w:p w:rsidR="00E93A14" w:rsidRPr="0017771C" w:rsidRDefault="00E93A14" w:rsidP="00E93A14">
      <w:pPr>
        <w:pStyle w:val="a8"/>
        <w:tabs>
          <w:tab w:val="clear" w:pos="1080"/>
          <w:tab w:val="left" w:pos="993"/>
        </w:tabs>
        <w:spacing w:line="235" w:lineRule="auto"/>
        <w:ind w:hanging="1260"/>
        <w:jc w:val="both"/>
      </w:pPr>
      <w:r>
        <w:tab/>
        <w:t xml:space="preserve">δ) </w:t>
      </w:r>
      <w:r>
        <w:tab/>
        <w:t xml:space="preserve">Οι δαπάνες είναι μετά </w:t>
      </w:r>
      <w:r>
        <w:rPr>
          <w:lang w:val="en-GB"/>
        </w:rPr>
        <w:t>SWAP</w:t>
      </w:r>
      <w:r w:rsidRPr="0017771C">
        <w:t>.</w:t>
      </w:r>
    </w:p>
    <w:p w:rsidR="00E93A14" w:rsidRPr="0015043C" w:rsidRDefault="00E93A14" w:rsidP="00E93A14">
      <w:pPr>
        <w:pStyle w:val="a8"/>
        <w:tabs>
          <w:tab w:val="clear" w:pos="1080"/>
          <w:tab w:val="left" w:pos="993"/>
        </w:tabs>
        <w:spacing w:line="235" w:lineRule="auto"/>
        <w:ind w:hanging="1260"/>
        <w:jc w:val="both"/>
      </w:pPr>
      <w:r>
        <w:tab/>
        <w:t>ε)</w:t>
      </w:r>
      <w:r>
        <w:tab/>
        <w:t>Η αύξηση των χρεολυσίων το 2017 οφείλεται στην εφαρμογή των βραχυπρόθεσμων μέτρων και στις ανταλλαγές ομολόγων.</w:t>
      </w:r>
    </w:p>
    <w:p w:rsidR="00E93A14" w:rsidRPr="00573703" w:rsidRDefault="00E93A14" w:rsidP="00E93A14">
      <w:pPr>
        <w:pStyle w:val="a8"/>
        <w:spacing w:line="235" w:lineRule="auto"/>
        <w:ind w:left="0" w:firstLine="0"/>
        <w:jc w:val="both"/>
      </w:pPr>
      <w:r w:rsidRPr="0015043C">
        <w:t xml:space="preserve">Πηγή:  </w:t>
      </w:r>
      <w:r>
        <w:t>ΟΔΔΗΧ</w:t>
      </w:r>
    </w:p>
    <w:p w:rsidR="00CE71D2" w:rsidRPr="0015043C" w:rsidRDefault="00CE71D2" w:rsidP="0003141E">
      <w:pPr>
        <w:jc w:val="both"/>
        <w:rPr>
          <w:sz w:val="22"/>
          <w:szCs w:val="22"/>
        </w:rPr>
      </w:pPr>
    </w:p>
    <w:p w:rsidR="00CE2B26" w:rsidRDefault="00CE2B26">
      <w:pPr>
        <w:rPr>
          <w:rFonts w:ascii="Arial Narrow" w:hAnsi="Arial Narrow"/>
          <w:b/>
          <w:color w:val="FFFFFF"/>
          <w:sz w:val="26"/>
          <w:szCs w:val="26"/>
        </w:rPr>
      </w:pPr>
    </w:p>
    <w:p w:rsidR="00CE2B26" w:rsidRPr="00D35205" w:rsidRDefault="00CE2B26" w:rsidP="00CE2B26">
      <w:pPr>
        <w:pStyle w:val="a8"/>
        <w:ind w:left="0" w:firstLine="0"/>
        <w:jc w:val="both"/>
        <w:rPr>
          <w:rFonts w:ascii="Times New Roman" w:hAnsi="Times New Roman"/>
          <w:sz w:val="22"/>
          <w:szCs w:val="22"/>
        </w:rPr>
      </w:pPr>
      <w:r w:rsidRPr="00D35205">
        <w:rPr>
          <w:rFonts w:ascii="Times New Roman" w:hAnsi="Times New Roman"/>
          <w:sz w:val="22"/>
          <w:szCs w:val="22"/>
        </w:rPr>
        <w:t>Οι δαπάνες για εξόφληση βραχυπρόθεσμων τίτλων του Ελληνικού Δημοσίου, οι οποίες από το 2011 έως το 2013 περιλαμβάνουν μόνο έντοκα γραμμάτια ιδιωτικού τομέα</w:t>
      </w:r>
      <w:r>
        <w:rPr>
          <w:rFonts w:ascii="Times New Roman" w:hAnsi="Times New Roman"/>
          <w:sz w:val="22"/>
          <w:szCs w:val="22"/>
        </w:rPr>
        <w:t>,</w:t>
      </w:r>
      <w:r w:rsidRPr="00D35205">
        <w:rPr>
          <w:rFonts w:ascii="Times New Roman" w:hAnsi="Times New Roman"/>
          <w:sz w:val="22"/>
          <w:szCs w:val="22"/>
        </w:rPr>
        <w:t xml:space="preserve"> ενώ από το 2014 περιλαμβ</w:t>
      </w:r>
      <w:r w:rsidRPr="00D35205">
        <w:rPr>
          <w:rFonts w:ascii="Times New Roman" w:hAnsi="Times New Roman"/>
          <w:sz w:val="22"/>
          <w:szCs w:val="22"/>
        </w:rPr>
        <w:t>ά</w:t>
      </w:r>
      <w:r w:rsidRPr="00D35205">
        <w:rPr>
          <w:rFonts w:ascii="Times New Roman" w:hAnsi="Times New Roman"/>
          <w:sz w:val="22"/>
          <w:szCs w:val="22"/>
        </w:rPr>
        <w:t xml:space="preserve">νουν και </w:t>
      </w:r>
      <w:r w:rsidRPr="00D35205">
        <w:rPr>
          <w:rFonts w:ascii="Times New Roman" w:hAnsi="Times New Roman"/>
          <w:sz w:val="22"/>
          <w:szCs w:val="22"/>
          <w:lang w:val="en-US"/>
        </w:rPr>
        <w:t>repos</w:t>
      </w:r>
      <w:r>
        <w:rPr>
          <w:rFonts w:ascii="Times New Roman" w:hAnsi="Times New Roman"/>
          <w:sz w:val="22"/>
          <w:szCs w:val="22"/>
        </w:rPr>
        <w:t>, εκτιμάται ότι το 2019</w:t>
      </w:r>
      <w:r w:rsidRPr="00D35205">
        <w:rPr>
          <w:rFonts w:ascii="Times New Roman" w:hAnsi="Times New Roman"/>
          <w:sz w:val="22"/>
          <w:szCs w:val="22"/>
        </w:rPr>
        <w:t xml:space="preserve"> θα </w:t>
      </w:r>
      <w:r>
        <w:rPr>
          <w:rFonts w:ascii="Times New Roman" w:hAnsi="Times New Roman"/>
          <w:sz w:val="22"/>
          <w:szCs w:val="22"/>
        </w:rPr>
        <w:t xml:space="preserve">διαμορφωθούν </w:t>
      </w:r>
      <w:r w:rsidRPr="00D35205">
        <w:rPr>
          <w:rFonts w:ascii="Times New Roman" w:hAnsi="Times New Roman"/>
          <w:sz w:val="22"/>
          <w:szCs w:val="22"/>
        </w:rPr>
        <w:t xml:space="preserve">σε </w:t>
      </w:r>
      <w:r>
        <w:rPr>
          <w:rFonts w:ascii="Times New Roman" w:hAnsi="Times New Roman"/>
          <w:sz w:val="22"/>
          <w:szCs w:val="22"/>
        </w:rPr>
        <w:t>980.522</w:t>
      </w:r>
      <w:r w:rsidRPr="00D35205">
        <w:rPr>
          <w:rFonts w:ascii="Times New Roman" w:hAnsi="Times New Roman"/>
          <w:sz w:val="22"/>
          <w:szCs w:val="22"/>
        </w:rPr>
        <w:t xml:space="preserve"> εκατ. ευρώ, έναντι </w:t>
      </w:r>
      <w:r>
        <w:rPr>
          <w:rFonts w:ascii="Times New Roman" w:hAnsi="Times New Roman"/>
          <w:sz w:val="22"/>
          <w:szCs w:val="22"/>
        </w:rPr>
        <w:t xml:space="preserve">807.272 </w:t>
      </w:r>
      <w:r w:rsidRPr="00D35205">
        <w:rPr>
          <w:rFonts w:ascii="Times New Roman" w:hAnsi="Times New Roman"/>
          <w:sz w:val="22"/>
          <w:szCs w:val="22"/>
        </w:rPr>
        <w:t>εκατ. ευ</w:t>
      </w:r>
      <w:r>
        <w:rPr>
          <w:rFonts w:ascii="Times New Roman" w:hAnsi="Times New Roman"/>
          <w:sz w:val="22"/>
          <w:szCs w:val="22"/>
        </w:rPr>
        <w:t>ρώ το 2018</w:t>
      </w:r>
      <w:r w:rsidRPr="00D35205">
        <w:rPr>
          <w:rFonts w:ascii="Times New Roman" w:hAnsi="Times New Roman"/>
          <w:sz w:val="22"/>
          <w:szCs w:val="22"/>
        </w:rPr>
        <w:t xml:space="preserve"> (πίνακας 4.</w:t>
      </w:r>
      <w:r>
        <w:rPr>
          <w:rFonts w:ascii="Times New Roman" w:hAnsi="Times New Roman"/>
          <w:sz w:val="22"/>
          <w:szCs w:val="22"/>
        </w:rPr>
        <w:t>8</w:t>
      </w:r>
      <w:r w:rsidRPr="00D35205">
        <w:rPr>
          <w:rFonts w:ascii="Times New Roman" w:hAnsi="Times New Roman"/>
          <w:sz w:val="22"/>
          <w:szCs w:val="22"/>
        </w:rPr>
        <w:t xml:space="preserve">). </w:t>
      </w:r>
    </w:p>
    <w:p w:rsidR="00CE2B26" w:rsidRPr="00D35205" w:rsidRDefault="00CE2B26" w:rsidP="00CE2B26">
      <w:pPr>
        <w:pStyle w:val="a8"/>
        <w:ind w:left="0" w:firstLine="0"/>
        <w:jc w:val="both"/>
        <w:rPr>
          <w:rFonts w:ascii="Times New Roman" w:hAnsi="Times New Roman"/>
          <w:sz w:val="22"/>
          <w:szCs w:val="22"/>
          <w:highlight w:val="yellow"/>
        </w:rPr>
      </w:pPr>
    </w:p>
    <w:p w:rsidR="00CE2B26" w:rsidRDefault="00CE2B26" w:rsidP="00CE2B26">
      <w:pPr>
        <w:pStyle w:val="a8"/>
        <w:ind w:left="0" w:firstLine="0"/>
        <w:jc w:val="both"/>
        <w:rPr>
          <w:rFonts w:ascii="Times New Roman" w:hAnsi="Times New Roman"/>
          <w:sz w:val="22"/>
          <w:szCs w:val="22"/>
        </w:rPr>
      </w:pPr>
      <w:r w:rsidRPr="00D35205">
        <w:rPr>
          <w:rFonts w:ascii="Times New Roman" w:hAnsi="Times New Roman"/>
          <w:sz w:val="22"/>
          <w:szCs w:val="22"/>
        </w:rPr>
        <w:t xml:space="preserve">Σημειώνεται ότι οι δαπάνες εξόφλησης εντόκων γραμματίων και </w:t>
      </w:r>
      <w:r w:rsidRPr="00D35205">
        <w:rPr>
          <w:rFonts w:ascii="Times New Roman" w:hAnsi="Times New Roman"/>
          <w:sz w:val="22"/>
          <w:szCs w:val="22"/>
          <w:lang w:val="en-US"/>
        </w:rPr>
        <w:t>repos</w:t>
      </w:r>
      <w:r w:rsidRPr="00D35205">
        <w:rPr>
          <w:rFonts w:ascii="Times New Roman" w:hAnsi="Times New Roman"/>
          <w:sz w:val="22"/>
          <w:szCs w:val="22"/>
        </w:rPr>
        <w:t xml:space="preserve"> αφορούν τις συνολικές ετήσιες εξοφλήσεις οι οποίες </w:t>
      </w:r>
      <w:r w:rsidRPr="00FF783F">
        <w:rPr>
          <w:rFonts w:ascii="Times New Roman" w:hAnsi="Times New Roman"/>
          <w:sz w:val="22"/>
          <w:szCs w:val="22"/>
        </w:rPr>
        <w:t>αναχρηματοδοτούνται με νέες αντίστοιχες εκδόσεις, δεδομένου ότι το υφιστάμ</w:t>
      </w:r>
      <w:r w:rsidRPr="00FF783F">
        <w:rPr>
          <w:rFonts w:ascii="Times New Roman" w:hAnsi="Times New Roman"/>
          <w:sz w:val="22"/>
          <w:szCs w:val="22"/>
        </w:rPr>
        <w:t>ε</w:t>
      </w:r>
      <w:r w:rsidRPr="00FF783F">
        <w:rPr>
          <w:rFonts w:ascii="Times New Roman" w:hAnsi="Times New Roman"/>
          <w:sz w:val="22"/>
          <w:szCs w:val="22"/>
        </w:rPr>
        <w:t>νο συνολικό ύψος των ΕΓΕΔ δεν ξεπερνά τα 15.</w:t>
      </w:r>
      <w:r>
        <w:rPr>
          <w:rFonts w:ascii="Times New Roman" w:hAnsi="Times New Roman"/>
          <w:sz w:val="22"/>
          <w:szCs w:val="22"/>
        </w:rPr>
        <w:t>0</w:t>
      </w:r>
      <w:r w:rsidRPr="00FF783F">
        <w:rPr>
          <w:rFonts w:ascii="Times New Roman" w:hAnsi="Times New Roman"/>
          <w:sz w:val="22"/>
          <w:szCs w:val="22"/>
        </w:rPr>
        <w:t>00 εκατ. ευρώ</w:t>
      </w:r>
      <w:r>
        <w:rPr>
          <w:rFonts w:ascii="Times New Roman" w:hAnsi="Times New Roman"/>
          <w:sz w:val="22"/>
          <w:szCs w:val="22"/>
        </w:rPr>
        <w:t xml:space="preserve"> και</w:t>
      </w:r>
      <w:r w:rsidRPr="00FF783F">
        <w:rPr>
          <w:rFonts w:ascii="Times New Roman" w:hAnsi="Times New Roman"/>
          <w:sz w:val="22"/>
          <w:szCs w:val="22"/>
        </w:rPr>
        <w:t xml:space="preserve"> το υφιστάμενο υπόλοιπο των </w:t>
      </w:r>
      <w:r w:rsidRPr="00FF783F">
        <w:rPr>
          <w:rFonts w:ascii="Times New Roman" w:hAnsi="Times New Roman"/>
          <w:sz w:val="22"/>
          <w:szCs w:val="22"/>
          <w:lang w:val="en-US"/>
        </w:rPr>
        <w:t>r</w:t>
      </w:r>
      <w:r w:rsidRPr="00FF783F">
        <w:rPr>
          <w:rFonts w:ascii="Times New Roman" w:hAnsi="Times New Roman"/>
          <w:sz w:val="22"/>
          <w:szCs w:val="22"/>
          <w:lang w:val="en-US"/>
        </w:rPr>
        <w:t>e</w:t>
      </w:r>
      <w:r w:rsidRPr="00FF783F">
        <w:rPr>
          <w:rFonts w:ascii="Times New Roman" w:hAnsi="Times New Roman"/>
          <w:sz w:val="22"/>
          <w:szCs w:val="22"/>
          <w:lang w:val="en-US"/>
        </w:rPr>
        <w:t>pos</w:t>
      </w:r>
      <w:r w:rsidRPr="00FF783F">
        <w:rPr>
          <w:rFonts w:ascii="Times New Roman" w:hAnsi="Times New Roman"/>
          <w:sz w:val="22"/>
          <w:szCs w:val="22"/>
        </w:rPr>
        <w:t xml:space="preserve"> δεν ξεπερνά τα 2</w:t>
      </w:r>
      <w:r>
        <w:rPr>
          <w:rFonts w:ascii="Times New Roman" w:hAnsi="Times New Roman"/>
          <w:sz w:val="22"/>
          <w:szCs w:val="22"/>
        </w:rPr>
        <w:t>4</w:t>
      </w:r>
      <w:r w:rsidRPr="00FF783F">
        <w:rPr>
          <w:rFonts w:ascii="Times New Roman" w:hAnsi="Times New Roman"/>
          <w:sz w:val="22"/>
          <w:szCs w:val="22"/>
        </w:rPr>
        <w:t>.000 εκατ. ευρώ.</w:t>
      </w:r>
      <w:r w:rsidRPr="00D35205">
        <w:rPr>
          <w:rFonts w:ascii="Times New Roman" w:hAnsi="Times New Roman"/>
          <w:sz w:val="22"/>
          <w:szCs w:val="22"/>
        </w:rPr>
        <w:t xml:space="preserve"> </w:t>
      </w:r>
    </w:p>
    <w:p w:rsidR="00BE545F" w:rsidRDefault="00BE545F">
      <w:pPr>
        <w:rPr>
          <w:rFonts w:ascii="Arial Narrow" w:hAnsi="Arial Narrow"/>
          <w:b/>
          <w:color w:val="FFFFFF"/>
          <w:sz w:val="26"/>
          <w:szCs w:val="26"/>
        </w:rPr>
      </w:pPr>
    </w:p>
    <w:tbl>
      <w:tblPr>
        <w:tblW w:w="9136" w:type="dxa"/>
        <w:tblInd w:w="108" w:type="dxa"/>
        <w:tblLook w:val="0000"/>
      </w:tblPr>
      <w:tblGrid>
        <w:gridCol w:w="2108"/>
        <w:gridCol w:w="2216"/>
        <w:gridCol w:w="2885"/>
        <w:gridCol w:w="1927"/>
      </w:tblGrid>
      <w:tr w:rsidR="00BE545F" w:rsidRPr="0015043C" w:rsidTr="004B1E21">
        <w:tc>
          <w:tcPr>
            <w:tcW w:w="9136" w:type="dxa"/>
            <w:gridSpan w:val="4"/>
            <w:tcBorders>
              <w:top w:val="single" w:sz="4" w:space="0" w:color="auto"/>
              <w:left w:val="single" w:sz="4" w:space="0" w:color="auto"/>
              <w:right w:val="single" w:sz="4" w:space="0" w:color="auto"/>
            </w:tcBorders>
            <w:shd w:val="clear" w:color="auto" w:fill="404040" w:themeFill="text1" w:themeFillTint="BF"/>
            <w:noWrap/>
            <w:tcMar>
              <w:left w:w="57" w:type="dxa"/>
              <w:right w:w="57" w:type="dxa"/>
            </w:tcMar>
            <w:vAlign w:val="bottom"/>
          </w:tcPr>
          <w:p w:rsidR="00BE545F" w:rsidRPr="0015043C" w:rsidRDefault="00BE545F" w:rsidP="004B1E21">
            <w:pPr>
              <w:spacing w:before="120"/>
              <w:jc w:val="center"/>
              <w:rPr>
                <w:rFonts w:ascii="Arial Narrow" w:hAnsi="Arial Narrow"/>
                <w:b/>
                <w:bCs/>
                <w:color w:val="FFFFFF"/>
                <w:szCs w:val="28"/>
              </w:rPr>
            </w:pPr>
            <w:r>
              <w:rPr>
                <w:rFonts w:ascii="Arial Narrow" w:hAnsi="Arial Narrow"/>
                <w:b/>
                <w:bCs/>
                <w:color w:val="FFFFFF"/>
                <w:szCs w:val="28"/>
              </w:rPr>
              <w:t xml:space="preserve">Πίνακας 4.8  </w:t>
            </w:r>
            <w:r w:rsidRPr="0015043C">
              <w:rPr>
                <w:rFonts w:ascii="Arial Narrow" w:hAnsi="Arial Narrow"/>
                <w:b/>
                <w:bCs/>
                <w:color w:val="FFFFFF"/>
                <w:szCs w:val="28"/>
              </w:rPr>
              <w:t xml:space="preserve"> Εξοφλήσεις βραχυπρόθεσ</w:t>
            </w:r>
            <w:r>
              <w:rPr>
                <w:rFonts w:ascii="Arial Narrow" w:hAnsi="Arial Narrow"/>
                <w:b/>
                <w:bCs/>
                <w:color w:val="FFFFFF"/>
                <w:szCs w:val="28"/>
              </w:rPr>
              <w:t>μου χρέους</w:t>
            </w:r>
          </w:p>
          <w:p w:rsidR="00BE545F" w:rsidRPr="0015043C" w:rsidRDefault="00BE545F" w:rsidP="004B1E21">
            <w:pPr>
              <w:spacing w:after="120"/>
              <w:jc w:val="center"/>
              <w:rPr>
                <w:rFonts w:ascii="Arial Narrow" w:hAnsi="Arial Narrow"/>
                <w:b/>
                <w:bCs/>
                <w:color w:val="000080"/>
                <w:sz w:val="28"/>
                <w:szCs w:val="28"/>
              </w:rPr>
            </w:pPr>
            <w:r w:rsidRPr="0015043C">
              <w:rPr>
                <w:rFonts w:ascii="Arial Narrow" w:hAnsi="Arial Narrow"/>
                <w:b/>
                <w:color w:val="FFFFFF"/>
                <w:szCs w:val="28"/>
              </w:rPr>
              <w:t xml:space="preserve"> (σε εκατ. ευρώ)</w:t>
            </w:r>
          </w:p>
        </w:tc>
      </w:tr>
      <w:tr w:rsidR="00BE545F" w:rsidRPr="00E80743" w:rsidTr="004B1E21">
        <w:trPr>
          <w:trHeight w:val="124"/>
        </w:trPr>
        <w:tc>
          <w:tcPr>
            <w:tcW w:w="2108" w:type="dxa"/>
            <w:tcBorders>
              <w:top w:val="nil"/>
              <w:left w:val="single" w:sz="4" w:space="0" w:color="auto"/>
              <w:bottom w:val="nil"/>
              <w:right w:val="nil"/>
            </w:tcBorders>
            <w:shd w:val="clear" w:color="auto" w:fill="auto"/>
            <w:noWrap/>
            <w:tcMar>
              <w:left w:w="57" w:type="dxa"/>
              <w:right w:w="57" w:type="dxa"/>
            </w:tcMar>
            <w:vAlign w:val="bottom"/>
          </w:tcPr>
          <w:p w:rsidR="00BE545F" w:rsidRPr="00E80743" w:rsidRDefault="00BE545F" w:rsidP="004B1E21">
            <w:pPr>
              <w:rPr>
                <w:rFonts w:ascii="Arial Narrow" w:hAnsi="Arial Narrow"/>
                <w:sz w:val="12"/>
                <w:szCs w:val="20"/>
              </w:rPr>
            </w:pPr>
          </w:p>
        </w:tc>
        <w:tc>
          <w:tcPr>
            <w:tcW w:w="2216" w:type="dxa"/>
            <w:tcBorders>
              <w:top w:val="nil"/>
              <w:left w:val="nil"/>
              <w:bottom w:val="nil"/>
              <w:right w:val="nil"/>
            </w:tcBorders>
            <w:shd w:val="clear" w:color="auto" w:fill="auto"/>
            <w:noWrap/>
            <w:tcMar>
              <w:left w:w="57" w:type="dxa"/>
              <w:right w:w="57" w:type="dxa"/>
            </w:tcMar>
            <w:vAlign w:val="bottom"/>
          </w:tcPr>
          <w:p w:rsidR="00BE545F" w:rsidRPr="00E80743" w:rsidRDefault="00BE545F" w:rsidP="004B1E21">
            <w:pPr>
              <w:rPr>
                <w:rFonts w:ascii="Arial Narrow" w:hAnsi="Arial Narrow"/>
                <w:sz w:val="12"/>
                <w:szCs w:val="20"/>
              </w:rPr>
            </w:pPr>
          </w:p>
        </w:tc>
        <w:tc>
          <w:tcPr>
            <w:tcW w:w="2885" w:type="dxa"/>
            <w:tcBorders>
              <w:top w:val="nil"/>
              <w:left w:val="nil"/>
              <w:bottom w:val="nil"/>
              <w:right w:val="nil"/>
            </w:tcBorders>
            <w:shd w:val="clear" w:color="auto" w:fill="auto"/>
            <w:noWrap/>
            <w:tcMar>
              <w:left w:w="57" w:type="dxa"/>
              <w:right w:w="57" w:type="dxa"/>
            </w:tcMar>
            <w:vAlign w:val="bottom"/>
          </w:tcPr>
          <w:p w:rsidR="00BE545F" w:rsidRPr="00E80743" w:rsidRDefault="00BE545F" w:rsidP="004B1E21">
            <w:pPr>
              <w:rPr>
                <w:rFonts w:ascii="Arial Narrow" w:hAnsi="Arial Narrow"/>
                <w:sz w:val="12"/>
                <w:szCs w:val="20"/>
              </w:rPr>
            </w:pPr>
          </w:p>
        </w:tc>
        <w:tc>
          <w:tcPr>
            <w:tcW w:w="1927" w:type="dxa"/>
            <w:tcBorders>
              <w:top w:val="nil"/>
              <w:left w:val="nil"/>
              <w:bottom w:val="nil"/>
              <w:right w:val="single" w:sz="4" w:space="0" w:color="auto"/>
            </w:tcBorders>
            <w:shd w:val="clear" w:color="auto" w:fill="auto"/>
            <w:noWrap/>
            <w:tcMar>
              <w:left w:w="57" w:type="dxa"/>
              <w:right w:w="57" w:type="dxa"/>
            </w:tcMar>
            <w:vAlign w:val="bottom"/>
          </w:tcPr>
          <w:p w:rsidR="00BE545F" w:rsidRPr="00E80743" w:rsidRDefault="00BE545F" w:rsidP="004B1E21">
            <w:pPr>
              <w:rPr>
                <w:rFonts w:ascii="Arial Narrow" w:hAnsi="Arial Narrow"/>
                <w:sz w:val="12"/>
                <w:szCs w:val="20"/>
              </w:rPr>
            </w:pPr>
          </w:p>
        </w:tc>
      </w:tr>
      <w:tr w:rsidR="00BE545F" w:rsidRPr="0015043C" w:rsidTr="004B1E21">
        <w:trPr>
          <w:trHeight w:val="20"/>
        </w:trPr>
        <w:tc>
          <w:tcPr>
            <w:tcW w:w="210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BE545F" w:rsidRPr="0015043C" w:rsidRDefault="00BE545F" w:rsidP="004B1E21">
            <w:pPr>
              <w:jc w:val="center"/>
              <w:rPr>
                <w:rFonts w:ascii="Arial Narrow" w:hAnsi="Arial Narrow"/>
                <w:b/>
                <w:bCs/>
                <w:sz w:val="16"/>
                <w:szCs w:val="20"/>
              </w:rPr>
            </w:pPr>
            <w:r w:rsidRPr="0015043C">
              <w:rPr>
                <w:rFonts w:ascii="Arial Narrow" w:hAnsi="Arial Narrow"/>
                <w:b/>
                <w:bCs/>
                <w:sz w:val="16"/>
                <w:szCs w:val="20"/>
              </w:rPr>
              <w:t>Έτος</w:t>
            </w:r>
          </w:p>
        </w:tc>
        <w:tc>
          <w:tcPr>
            <w:tcW w:w="221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BE545F" w:rsidRPr="0015043C" w:rsidRDefault="00BE545F" w:rsidP="004B1E21">
            <w:pPr>
              <w:jc w:val="center"/>
              <w:rPr>
                <w:rFonts w:ascii="Arial Narrow" w:hAnsi="Arial Narrow"/>
                <w:b/>
                <w:bCs/>
                <w:sz w:val="16"/>
                <w:szCs w:val="20"/>
              </w:rPr>
            </w:pPr>
            <w:r w:rsidRPr="0015043C">
              <w:rPr>
                <w:rFonts w:ascii="Arial Narrow" w:hAnsi="Arial Narrow"/>
                <w:b/>
                <w:bCs/>
                <w:sz w:val="16"/>
                <w:szCs w:val="20"/>
              </w:rPr>
              <w:t>Έντοκα γραμμάτια</w:t>
            </w:r>
          </w:p>
          <w:p w:rsidR="00BE545F" w:rsidRPr="0015043C" w:rsidRDefault="00BE545F" w:rsidP="004B1E21">
            <w:pPr>
              <w:jc w:val="center"/>
              <w:rPr>
                <w:rFonts w:ascii="Arial Narrow" w:hAnsi="Arial Narrow"/>
                <w:b/>
                <w:bCs/>
                <w:sz w:val="16"/>
                <w:szCs w:val="20"/>
              </w:rPr>
            </w:pPr>
            <w:r w:rsidRPr="0015043C">
              <w:rPr>
                <w:rFonts w:ascii="Arial Narrow" w:hAnsi="Arial Narrow"/>
                <w:b/>
                <w:bCs/>
                <w:sz w:val="16"/>
                <w:szCs w:val="20"/>
              </w:rPr>
              <w:t>ιδιωτικού τομέα</w:t>
            </w:r>
          </w:p>
        </w:tc>
        <w:tc>
          <w:tcPr>
            <w:tcW w:w="2885"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BE545F" w:rsidRDefault="00BE545F" w:rsidP="00BE545F">
            <w:pPr>
              <w:jc w:val="center"/>
              <w:rPr>
                <w:rFonts w:ascii="Arial Narrow" w:hAnsi="Arial Narrow"/>
                <w:b/>
                <w:bCs/>
                <w:sz w:val="16"/>
                <w:szCs w:val="20"/>
              </w:rPr>
            </w:pPr>
            <w:r w:rsidRPr="0015043C">
              <w:rPr>
                <w:rFonts w:ascii="Arial Narrow" w:hAnsi="Arial Narrow"/>
                <w:b/>
                <w:bCs/>
                <w:sz w:val="16"/>
                <w:szCs w:val="20"/>
              </w:rPr>
              <w:t>Βραχυπρόθεσμ</w:t>
            </w:r>
            <w:r>
              <w:rPr>
                <w:rFonts w:ascii="Arial Narrow" w:hAnsi="Arial Narrow"/>
                <w:b/>
                <w:bCs/>
                <w:sz w:val="16"/>
                <w:szCs w:val="20"/>
              </w:rPr>
              <w:t>α δάνεια</w:t>
            </w:r>
          </w:p>
          <w:p w:rsidR="00BE545F" w:rsidRPr="00BE545F" w:rsidRDefault="00BE545F" w:rsidP="00BE545F">
            <w:pPr>
              <w:jc w:val="center"/>
              <w:rPr>
                <w:rFonts w:ascii="Arial Narrow" w:hAnsi="Arial Narrow"/>
                <w:b/>
                <w:bCs/>
                <w:sz w:val="16"/>
                <w:szCs w:val="20"/>
                <w:vertAlign w:val="superscript"/>
                <w:lang w:val="en-US"/>
              </w:rPr>
            </w:pPr>
            <w:r>
              <w:rPr>
                <w:rFonts w:ascii="Arial Narrow" w:hAnsi="Arial Narrow"/>
                <w:b/>
                <w:bCs/>
                <w:sz w:val="16"/>
                <w:szCs w:val="20"/>
              </w:rPr>
              <w:t>(</w:t>
            </w:r>
            <w:r>
              <w:rPr>
                <w:rFonts w:ascii="Arial Narrow" w:hAnsi="Arial Narrow"/>
                <w:b/>
                <w:bCs/>
                <w:sz w:val="16"/>
                <w:szCs w:val="20"/>
                <w:lang w:val="en-US"/>
              </w:rPr>
              <w:t>Repos)</w:t>
            </w:r>
          </w:p>
        </w:tc>
        <w:tc>
          <w:tcPr>
            <w:tcW w:w="192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BE545F" w:rsidRPr="0015043C" w:rsidRDefault="00BE545F" w:rsidP="004B1E21">
            <w:pPr>
              <w:jc w:val="center"/>
              <w:rPr>
                <w:rFonts w:ascii="Arial Narrow" w:hAnsi="Arial Narrow"/>
                <w:b/>
                <w:bCs/>
                <w:sz w:val="16"/>
                <w:szCs w:val="20"/>
              </w:rPr>
            </w:pPr>
            <w:r w:rsidRPr="0015043C">
              <w:rPr>
                <w:rFonts w:ascii="Arial Narrow" w:hAnsi="Arial Narrow"/>
                <w:b/>
                <w:bCs/>
                <w:sz w:val="16"/>
                <w:szCs w:val="20"/>
              </w:rPr>
              <w:t>Σύνολο</w:t>
            </w:r>
          </w:p>
        </w:tc>
      </w:tr>
      <w:tr w:rsidR="00BE545F" w:rsidRPr="0015043C" w:rsidTr="004B1E21">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BE545F" w:rsidRPr="0015043C" w:rsidRDefault="00BE545F" w:rsidP="004B1E21">
            <w:pPr>
              <w:spacing w:before="20" w:after="20"/>
              <w:jc w:val="center"/>
              <w:rPr>
                <w:rFonts w:ascii="Arial Narrow" w:hAnsi="Arial Narrow"/>
                <w:sz w:val="16"/>
                <w:szCs w:val="20"/>
              </w:rPr>
            </w:pPr>
            <w:r w:rsidRPr="0015043C">
              <w:rPr>
                <w:rFonts w:ascii="Arial Narrow" w:hAnsi="Arial Narrow"/>
                <w:sz w:val="16"/>
                <w:szCs w:val="20"/>
              </w:rPr>
              <w:t>20</w:t>
            </w:r>
            <w:r>
              <w:rPr>
                <w:rFonts w:ascii="Arial Narrow" w:hAnsi="Arial Narrow"/>
                <w:sz w:val="16"/>
                <w:szCs w:val="20"/>
              </w:rPr>
              <w:t>11</w:t>
            </w:r>
          </w:p>
        </w:tc>
        <w:tc>
          <w:tcPr>
            <w:tcW w:w="2216" w:type="dxa"/>
            <w:tcBorders>
              <w:top w:val="nil"/>
              <w:bottom w:val="nil"/>
            </w:tcBorders>
            <w:shd w:val="clear" w:color="auto" w:fill="auto"/>
            <w:noWrap/>
            <w:tcMar>
              <w:left w:w="57" w:type="dxa"/>
              <w:right w:w="57" w:type="dxa"/>
            </w:tcMar>
            <w:vAlign w:val="center"/>
          </w:tcPr>
          <w:p w:rsidR="00BE545F" w:rsidRDefault="00BE545F" w:rsidP="004B1E21">
            <w:pPr>
              <w:tabs>
                <w:tab w:val="decimal" w:pos="1281"/>
              </w:tabs>
              <w:spacing w:before="20" w:after="20"/>
              <w:jc w:val="both"/>
              <w:rPr>
                <w:rFonts w:ascii="Arial Narrow" w:hAnsi="Arial Narrow" w:cs="Arial"/>
                <w:sz w:val="16"/>
                <w:szCs w:val="16"/>
              </w:rPr>
            </w:pPr>
            <w:r>
              <w:rPr>
                <w:rFonts w:ascii="Arial Narrow" w:hAnsi="Arial Narrow" w:cs="Arial"/>
                <w:sz w:val="16"/>
                <w:szCs w:val="16"/>
              </w:rPr>
              <w:t>33.395</w:t>
            </w:r>
          </w:p>
        </w:tc>
        <w:tc>
          <w:tcPr>
            <w:tcW w:w="2885" w:type="dxa"/>
            <w:tcBorders>
              <w:top w:val="nil"/>
              <w:bottom w:val="nil"/>
            </w:tcBorders>
            <w:shd w:val="clear" w:color="auto" w:fill="auto"/>
            <w:noWrap/>
            <w:tcMar>
              <w:left w:w="57" w:type="dxa"/>
              <w:right w:w="57" w:type="dxa"/>
            </w:tcMar>
            <w:vAlign w:val="center"/>
          </w:tcPr>
          <w:p w:rsidR="00BE545F" w:rsidRDefault="00BE545F" w:rsidP="004B1E21">
            <w:pPr>
              <w:tabs>
                <w:tab w:val="decimal" w:pos="1522"/>
              </w:tabs>
              <w:spacing w:before="20" w:after="20"/>
              <w:jc w:val="both"/>
              <w:rPr>
                <w:rFonts w:ascii="Arial Narrow" w:hAnsi="Arial Narrow" w:cs="Arial"/>
                <w:sz w:val="16"/>
                <w:szCs w:val="16"/>
              </w:rPr>
            </w:pPr>
            <w:r>
              <w:rPr>
                <w:rFonts w:ascii="Arial Narrow" w:hAnsi="Arial Narrow" w:cs="Arial"/>
                <w:sz w:val="16"/>
                <w:szCs w:val="16"/>
              </w:rPr>
              <w:t>0</w:t>
            </w:r>
          </w:p>
        </w:tc>
        <w:tc>
          <w:tcPr>
            <w:tcW w:w="1927" w:type="dxa"/>
            <w:tcBorders>
              <w:top w:val="nil"/>
              <w:bottom w:val="nil"/>
              <w:right w:val="single" w:sz="4" w:space="0" w:color="auto"/>
            </w:tcBorders>
            <w:shd w:val="clear" w:color="auto" w:fill="auto"/>
            <w:noWrap/>
            <w:tcMar>
              <w:left w:w="57" w:type="dxa"/>
              <w:right w:w="57" w:type="dxa"/>
            </w:tcMar>
            <w:vAlign w:val="center"/>
          </w:tcPr>
          <w:p w:rsidR="00BE545F" w:rsidRDefault="00BE545F" w:rsidP="004E0402">
            <w:pPr>
              <w:tabs>
                <w:tab w:val="decimal" w:pos="1188"/>
              </w:tabs>
              <w:spacing w:before="20" w:after="20"/>
              <w:jc w:val="both"/>
              <w:rPr>
                <w:rFonts w:ascii="Arial Narrow" w:hAnsi="Arial Narrow" w:cs="Arial"/>
                <w:sz w:val="16"/>
                <w:szCs w:val="16"/>
              </w:rPr>
            </w:pPr>
            <w:r>
              <w:rPr>
                <w:rFonts w:ascii="Arial Narrow" w:hAnsi="Arial Narrow" w:cs="Arial"/>
                <w:sz w:val="16"/>
                <w:szCs w:val="16"/>
              </w:rPr>
              <w:t>33.395</w:t>
            </w:r>
          </w:p>
        </w:tc>
      </w:tr>
      <w:tr w:rsidR="00BE545F" w:rsidRPr="0015043C" w:rsidTr="004B1E21">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BE545F" w:rsidRPr="0015043C" w:rsidRDefault="00BE545F" w:rsidP="004B1E21">
            <w:pPr>
              <w:spacing w:before="20" w:after="20"/>
              <w:jc w:val="center"/>
              <w:rPr>
                <w:rFonts w:ascii="Arial Narrow" w:hAnsi="Arial Narrow"/>
                <w:sz w:val="16"/>
                <w:szCs w:val="20"/>
              </w:rPr>
            </w:pPr>
            <w:r>
              <w:rPr>
                <w:rFonts w:ascii="Arial Narrow" w:hAnsi="Arial Narrow"/>
                <w:sz w:val="16"/>
                <w:szCs w:val="20"/>
              </w:rPr>
              <w:t>2012</w:t>
            </w:r>
          </w:p>
        </w:tc>
        <w:tc>
          <w:tcPr>
            <w:tcW w:w="2216" w:type="dxa"/>
            <w:tcBorders>
              <w:top w:val="nil"/>
              <w:bottom w:val="nil"/>
            </w:tcBorders>
            <w:shd w:val="clear" w:color="auto" w:fill="auto"/>
            <w:noWrap/>
            <w:tcMar>
              <w:left w:w="57" w:type="dxa"/>
              <w:right w:w="57" w:type="dxa"/>
            </w:tcMar>
            <w:vAlign w:val="center"/>
          </w:tcPr>
          <w:p w:rsidR="00BE545F" w:rsidRDefault="00BE545F" w:rsidP="004B1E21">
            <w:pPr>
              <w:tabs>
                <w:tab w:val="decimal" w:pos="1281"/>
              </w:tabs>
              <w:spacing w:before="20" w:after="20"/>
              <w:jc w:val="both"/>
              <w:rPr>
                <w:rFonts w:ascii="Arial Narrow" w:hAnsi="Arial Narrow" w:cs="Arial"/>
                <w:sz w:val="16"/>
                <w:szCs w:val="16"/>
              </w:rPr>
            </w:pPr>
            <w:r>
              <w:rPr>
                <w:rFonts w:ascii="Arial Narrow" w:hAnsi="Arial Narrow" w:cs="Arial"/>
                <w:sz w:val="16"/>
                <w:szCs w:val="16"/>
              </w:rPr>
              <w:t>47.008</w:t>
            </w:r>
          </w:p>
        </w:tc>
        <w:tc>
          <w:tcPr>
            <w:tcW w:w="2885" w:type="dxa"/>
            <w:tcBorders>
              <w:top w:val="nil"/>
              <w:bottom w:val="nil"/>
            </w:tcBorders>
            <w:shd w:val="clear" w:color="auto" w:fill="auto"/>
            <w:noWrap/>
            <w:tcMar>
              <w:left w:w="57" w:type="dxa"/>
              <w:right w:w="57" w:type="dxa"/>
            </w:tcMar>
            <w:vAlign w:val="center"/>
          </w:tcPr>
          <w:p w:rsidR="00BE545F" w:rsidRDefault="00BE545F" w:rsidP="004B1E21">
            <w:pPr>
              <w:tabs>
                <w:tab w:val="decimal" w:pos="1522"/>
              </w:tabs>
              <w:spacing w:before="20" w:after="20"/>
              <w:jc w:val="both"/>
              <w:rPr>
                <w:rFonts w:ascii="Arial Narrow" w:hAnsi="Arial Narrow" w:cs="Arial"/>
                <w:sz w:val="16"/>
                <w:szCs w:val="16"/>
              </w:rPr>
            </w:pPr>
            <w:r>
              <w:rPr>
                <w:rFonts w:ascii="Arial Narrow" w:hAnsi="Arial Narrow" w:cs="Arial"/>
                <w:sz w:val="16"/>
                <w:szCs w:val="16"/>
              </w:rPr>
              <w:t>0</w:t>
            </w:r>
          </w:p>
        </w:tc>
        <w:tc>
          <w:tcPr>
            <w:tcW w:w="1927" w:type="dxa"/>
            <w:tcBorders>
              <w:top w:val="nil"/>
              <w:bottom w:val="nil"/>
              <w:right w:val="single" w:sz="4" w:space="0" w:color="auto"/>
            </w:tcBorders>
            <w:shd w:val="clear" w:color="auto" w:fill="auto"/>
            <w:noWrap/>
            <w:tcMar>
              <w:left w:w="57" w:type="dxa"/>
              <w:right w:w="57" w:type="dxa"/>
            </w:tcMar>
            <w:vAlign w:val="center"/>
          </w:tcPr>
          <w:p w:rsidR="00BE545F" w:rsidRDefault="00BE545F" w:rsidP="004E0402">
            <w:pPr>
              <w:tabs>
                <w:tab w:val="decimal" w:pos="1188"/>
              </w:tabs>
              <w:spacing w:before="20" w:after="20"/>
              <w:jc w:val="both"/>
              <w:rPr>
                <w:rFonts w:ascii="Arial Narrow" w:hAnsi="Arial Narrow" w:cs="Arial"/>
                <w:sz w:val="16"/>
                <w:szCs w:val="16"/>
              </w:rPr>
            </w:pPr>
            <w:r>
              <w:rPr>
                <w:rFonts w:ascii="Arial Narrow" w:hAnsi="Arial Narrow" w:cs="Arial"/>
                <w:sz w:val="16"/>
                <w:szCs w:val="16"/>
              </w:rPr>
              <w:t>47.008</w:t>
            </w:r>
          </w:p>
        </w:tc>
      </w:tr>
      <w:tr w:rsidR="00BE545F" w:rsidRPr="0015043C" w:rsidTr="004B1E21">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BE545F" w:rsidRDefault="00BE545F" w:rsidP="004B1E21">
            <w:pPr>
              <w:spacing w:before="20" w:after="20"/>
              <w:jc w:val="center"/>
              <w:rPr>
                <w:rFonts w:ascii="Arial Narrow" w:hAnsi="Arial Narrow"/>
                <w:sz w:val="16"/>
                <w:szCs w:val="20"/>
              </w:rPr>
            </w:pPr>
            <w:r>
              <w:rPr>
                <w:rFonts w:ascii="Arial Narrow" w:hAnsi="Arial Narrow"/>
                <w:sz w:val="16"/>
                <w:szCs w:val="20"/>
              </w:rPr>
              <w:t>2013</w:t>
            </w:r>
          </w:p>
        </w:tc>
        <w:tc>
          <w:tcPr>
            <w:tcW w:w="2216" w:type="dxa"/>
            <w:tcBorders>
              <w:top w:val="nil"/>
              <w:bottom w:val="nil"/>
            </w:tcBorders>
            <w:shd w:val="clear" w:color="auto" w:fill="auto"/>
            <w:noWrap/>
            <w:tcMar>
              <w:left w:w="57" w:type="dxa"/>
              <w:right w:w="57" w:type="dxa"/>
            </w:tcMar>
            <w:vAlign w:val="center"/>
          </w:tcPr>
          <w:p w:rsidR="00BE545F" w:rsidRDefault="00BE545F" w:rsidP="004B1E21">
            <w:pPr>
              <w:tabs>
                <w:tab w:val="decimal" w:pos="1281"/>
              </w:tabs>
              <w:spacing w:before="20" w:after="20"/>
              <w:jc w:val="both"/>
              <w:rPr>
                <w:rFonts w:ascii="Arial Narrow" w:hAnsi="Arial Narrow" w:cs="Arial"/>
                <w:sz w:val="16"/>
                <w:szCs w:val="16"/>
              </w:rPr>
            </w:pPr>
            <w:r>
              <w:rPr>
                <w:rFonts w:ascii="Arial Narrow" w:hAnsi="Arial Narrow" w:cs="Arial"/>
                <w:sz w:val="16"/>
                <w:szCs w:val="16"/>
              </w:rPr>
              <w:t>44.703</w:t>
            </w:r>
          </w:p>
        </w:tc>
        <w:tc>
          <w:tcPr>
            <w:tcW w:w="2885" w:type="dxa"/>
            <w:tcBorders>
              <w:top w:val="nil"/>
              <w:bottom w:val="nil"/>
            </w:tcBorders>
            <w:shd w:val="clear" w:color="auto" w:fill="auto"/>
            <w:noWrap/>
            <w:tcMar>
              <w:left w:w="57" w:type="dxa"/>
              <w:right w:w="57" w:type="dxa"/>
            </w:tcMar>
            <w:vAlign w:val="center"/>
          </w:tcPr>
          <w:p w:rsidR="00BE545F" w:rsidRDefault="00BE545F" w:rsidP="004B1E21">
            <w:pPr>
              <w:tabs>
                <w:tab w:val="decimal" w:pos="1522"/>
              </w:tabs>
              <w:spacing w:before="20" w:after="20"/>
              <w:jc w:val="both"/>
              <w:rPr>
                <w:rFonts w:ascii="Arial Narrow" w:hAnsi="Arial Narrow" w:cs="Arial"/>
                <w:sz w:val="16"/>
                <w:szCs w:val="16"/>
              </w:rPr>
            </w:pPr>
            <w:r>
              <w:rPr>
                <w:rFonts w:ascii="Arial Narrow" w:hAnsi="Arial Narrow" w:cs="Arial"/>
                <w:sz w:val="16"/>
                <w:szCs w:val="16"/>
              </w:rPr>
              <w:t>0</w:t>
            </w:r>
          </w:p>
        </w:tc>
        <w:tc>
          <w:tcPr>
            <w:tcW w:w="1927" w:type="dxa"/>
            <w:tcBorders>
              <w:top w:val="nil"/>
              <w:bottom w:val="nil"/>
              <w:right w:val="single" w:sz="4" w:space="0" w:color="auto"/>
            </w:tcBorders>
            <w:shd w:val="clear" w:color="auto" w:fill="auto"/>
            <w:noWrap/>
            <w:tcMar>
              <w:left w:w="57" w:type="dxa"/>
              <w:right w:w="57" w:type="dxa"/>
            </w:tcMar>
            <w:vAlign w:val="center"/>
          </w:tcPr>
          <w:p w:rsidR="00BE545F" w:rsidRDefault="00BE545F" w:rsidP="004E0402">
            <w:pPr>
              <w:tabs>
                <w:tab w:val="decimal" w:pos="1188"/>
              </w:tabs>
              <w:spacing w:before="20" w:after="20"/>
              <w:jc w:val="both"/>
              <w:rPr>
                <w:rFonts w:ascii="Arial Narrow" w:hAnsi="Arial Narrow" w:cs="Arial"/>
                <w:sz w:val="16"/>
                <w:szCs w:val="16"/>
              </w:rPr>
            </w:pPr>
            <w:r>
              <w:rPr>
                <w:rFonts w:ascii="Arial Narrow" w:hAnsi="Arial Narrow" w:cs="Arial"/>
                <w:sz w:val="16"/>
                <w:szCs w:val="16"/>
              </w:rPr>
              <w:t>44.703</w:t>
            </w:r>
          </w:p>
        </w:tc>
      </w:tr>
      <w:tr w:rsidR="00BE545F" w:rsidRPr="0015043C" w:rsidTr="004B1E21">
        <w:trPr>
          <w:trHeight w:val="20"/>
        </w:trPr>
        <w:tc>
          <w:tcPr>
            <w:tcW w:w="2108" w:type="dxa"/>
            <w:tcBorders>
              <w:top w:val="nil"/>
              <w:left w:val="single" w:sz="4" w:space="0" w:color="auto"/>
            </w:tcBorders>
            <w:shd w:val="clear" w:color="auto" w:fill="auto"/>
            <w:noWrap/>
            <w:tcMar>
              <w:left w:w="57" w:type="dxa"/>
              <w:right w:w="57" w:type="dxa"/>
            </w:tcMar>
            <w:vAlign w:val="bottom"/>
          </w:tcPr>
          <w:p w:rsidR="00BE545F" w:rsidRDefault="00BE545F" w:rsidP="004B1E21">
            <w:pPr>
              <w:spacing w:before="20" w:after="20"/>
              <w:jc w:val="center"/>
              <w:rPr>
                <w:rFonts w:ascii="Arial Narrow" w:hAnsi="Arial Narrow"/>
                <w:sz w:val="16"/>
                <w:szCs w:val="20"/>
              </w:rPr>
            </w:pPr>
            <w:r>
              <w:rPr>
                <w:rFonts w:ascii="Arial Narrow" w:hAnsi="Arial Narrow"/>
                <w:sz w:val="16"/>
                <w:szCs w:val="20"/>
              </w:rPr>
              <w:t>2014</w:t>
            </w:r>
          </w:p>
        </w:tc>
        <w:tc>
          <w:tcPr>
            <w:tcW w:w="2216" w:type="dxa"/>
            <w:tcBorders>
              <w:top w:val="nil"/>
            </w:tcBorders>
            <w:shd w:val="clear" w:color="auto" w:fill="auto"/>
            <w:noWrap/>
            <w:tcMar>
              <w:left w:w="57" w:type="dxa"/>
              <w:right w:w="57" w:type="dxa"/>
            </w:tcMar>
            <w:vAlign w:val="center"/>
          </w:tcPr>
          <w:p w:rsidR="00BE545F" w:rsidRDefault="00BE545F" w:rsidP="004B1E21">
            <w:pPr>
              <w:tabs>
                <w:tab w:val="decimal" w:pos="1281"/>
              </w:tabs>
              <w:spacing w:before="20" w:after="20"/>
              <w:jc w:val="both"/>
              <w:rPr>
                <w:rFonts w:ascii="Arial Narrow" w:hAnsi="Arial Narrow" w:cs="Arial"/>
                <w:sz w:val="16"/>
                <w:szCs w:val="16"/>
              </w:rPr>
            </w:pPr>
            <w:r>
              <w:rPr>
                <w:rFonts w:ascii="Arial Narrow" w:hAnsi="Arial Narrow" w:cs="Arial"/>
                <w:sz w:val="16"/>
                <w:szCs w:val="16"/>
              </w:rPr>
              <w:t>40.558</w:t>
            </w:r>
          </w:p>
        </w:tc>
        <w:tc>
          <w:tcPr>
            <w:tcW w:w="2885" w:type="dxa"/>
            <w:tcBorders>
              <w:top w:val="nil"/>
            </w:tcBorders>
            <w:shd w:val="clear" w:color="auto" w:fill="auto"/>
            <w:noWrap/>
            <w:tcMar>
              <w:left w:w="57" w:type="dxa"/>
              <w:right w:w="57" w:type="dxa"/>
            </w:tcMar>
            <w:vAlign w:val="center"/>
          </w:tcPr>
          <w:p w:rsidR="00BE545F" w:rsidRDefault="00BE545F" w:rsidP="004B1E21">
            <w:pPr>
              <w:tabs>
                <w:tab w:val="decimal" w:pos="1522"/>
              </w:tabs>
              <w:spacing w:before="20" w:after="20"/>
              <w:jc w:val="both"/>
              <w:rPr>
                <w:rFonts w:ascii="Arial Narrow" w:hAnsi="Arial Narrow" w:cs="Arial"/>
                <w:sz w:val="16"/>
                <w:szCs w:val="16"/>
              </w:rPr>
            </w:pPr>
            <w:r>
              <w:rPr>
                <w:rFonts w:ascii="Arial Narrow" w:hAnsi="Arial Narrow" w:cs="Arial"/>
                <w:sz w:val="16"/>
                <w:szCs w:val="16"/>
              </w:rPr>
              <w:t>88.549</w:t>
            </w:r>
          </w:p>
        </w:tc>
        <w:tc>
          <w:tcPr>
            <w:tcW w:w="1927" w:type="dxa"/>
            <w:tcBorders>
              <w:top w:val="nil"/>
              <w:right w:val="single" w:sz="4" w:space="0" w:color="auto"/>
            </w:tcBorders>
            <w:shd w:val="clear" w:color="auto" w:fill="auto"/>
            <w:noWrap/>
            <w:tcMar>
              <w:left w:w="57" w:type="dxa"/>
              <w:right w:w="57" w:type="dxa"/>
            </w:tcMar>
            <w:vAlign w:val="center"/>
          </w:tcPr>
          <w:p w:rsidR="00BE545F" w:rsidRDefault="00BE545F" w:rsidP="004E0402">
            <w:pPr>
              <w:tabs>
                <w:tab w:val="decimal" w:pos="1188"/>
              </w:tabs>
              <w:spacing w:before="20" w:after="20"/>
              <w:jc w:val="both"/>
              <w:rPr>
                <w:rFonts w:ascii="Arial Narrow" w:hAnsi="Arial Narrow" w:cs="Arial"/>
                <w:sz w:val="16"/>
                <w:szCs w:val="16"/>
              </w:rPr>
            </w:pPr>
            <w:r>
              <w:rPr>
                <w:rFonts w:ascii="Arial Narrow" w:hAnsi="Arial Narrow" w:cs="Arial"/>
                <w:sz w:val="16"/>
                <w:szCs w:val="16"/>
              </w:rPr>
              <w:t>129.107</w:t>
            </w:r>
          </w:p>
        </w:tc>
      </w:tr>
      <w:tr w:rsidR="00BE545F" w:rsidRPr="0015043C" w:rsidTr="004B1E21">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BE545F" w:rsidRPr="00C83AD1" w:rsidRDefault="00BE545F" w:rsidP="004B1E21">
            <w:pPr>
              <w:spacing w:before="20" w:after="20"/>
              <w:jc w:val="center"/>
              <w:rPr>
                <w:rFonts w:ascii="Arial Narrow" w:hAnsi="Arial Narrow"/>
                <w:sz w:val="16"/>
                <w:szCs w:val="20"/>
              </w:rPr>
            </w:pPr>
            <w:r>
              <w:rPr>
                <w:rFonts w:ascii="Arial Narrow" w:hAnsi="Arial Narrow"/>
                <w:sz w:val="16"/>
                <w:szCs w:val="20"/>
                <w:lang w:val="en-GB"/>
              </w:rPr>
              <w:t>20</w:t>
            </w:r>
            <w:r>
              <w:rPr>
                <w:rFonts w:ascii="Arial Narrow" w:hAnsi="Arial Narrow"/>
                <w:sz w:val="16"/>
                <w:szCs w:val="20"/>
              </w:rPr>
              <w:t>1</w:t>
            </w:r>
            <w:r w:rsidRPr="0015043C">
              <w:rPr>
                <w:rFonts w:ascii="Arial Narrow" w:hAnsi="Arial Narrow"/>
                <w:sz w:val="16"/>
                <w:szCs w:val="20"/>
                <w:lang w:val="en-GB"/>
              </w:rPr>
              <w:t>5</w:t>
            </w:r>
          </w:p>
        </w:tc>
        <w:tc>
          <w:tcPr>
            <w:tcW w:w="2216" w:type="dxa"/>
            <w:tcBorders>
              <w:top w:val="nil"/>
              <w:bottom w:val="nil"/>
            </w:tcBorders>
            <w:shd w:val="clear" w:color="auto" w:fill="auto"/>
            <w:noWrap/>
            <w:tcMar>
              <w:left w:w="57" w:type="dxa"/>
              <w:right w:w="57" w:type="dxa"/>
            </w:tcMar>
            <w:vAlign w:val="center"/>
          </w:tcPr>
          <w:p w:rsidR="00BE545F" w:rsidRDefault="00BE545F" w:rsidP="004B1E21">
            <w:pPr>
              <w:tabs>
                <w:tab w:val="decimal" w:pos="1281"/>
              </w:tabs>
              <w:spacing w:before="20" w:after="20"/>
              <w:jc w:val="both"/>
              <w:rPr>
                <w:rFonts w:ascii="Arial Narrow" w:hAnsi="Arial Narrow" w:cs="Arial"/>
                <w:sz w:val="16"/>
                <w:szCs w:val="16"/>
              </w:rPr>
            </w:pPr>
            <w:r>
              <w:rPr>
                <w:rFonts w:ascii="Arial Narrow" w:hAnsi="Arial Narrow" w:cs="Arial"/>
                <w:sz w:val="16"/>
                <w:szCs w:val="16"/>
              </w:rPr>
              <w:t>40.457</w:t>
            </w:r>
          </w:p>
        </w:tc>
        <w:tc>
          <w:tcPr>
            <w:tcW w:w="2885" w:type="dxa"/>
            <w:tcBorders>
              <w:top w:val="nil"/>
              <w:bottom w:val="nil"/>
            </w:tcBorders>
            <w:shd w:val="clear" w:color="auto" w:fill="auto"/>
            <w:noWrap/>
            <w:tcMar>
              <w:left w:w="57" w:type="dxa"/>
              <w:right w:w="57" w:type="dxa"/>
            </w:tcMar>
            <w:vAlign w:val="center"/>
          </w:tcPr>
          <w:p w:rsidR="00BE545F" w:rsidRDefault="00BE545F" w:rsidP="004B1E21">
            <w:pPr>
              <w:tabs>
                <w:tab w:val="decimal" w:pos="1522"/>
              </w:tabs>
              <w:spacing w:before="20" w:after="20"/>
              <w:jc w:val="both"/>
              <w:rPr>
                <w:rFonts w:ascii="Arial Narrow" w:hAnsi="Arial Narrow" w:cs="Arial"/>
                <w:sz w:val="16"/>
                <w:szCs w:val="16"/>
              </w:rPr>
            </w:pPr>
            <w:r>
              <w:rPr>
                <w:rFonts w:ascii="Arial Narrow" w:hAnsi="Arial Narrow" w:cs="Arial"/>
                <w:sz w:val="16"/>
                <w:szCs w:val="16"/>
              </w:rPr>
              <w:t>699.971</w:t>
            </w:r>
          </w:p>
        </w:tc>
        <w:tc>
          <w:tcPr>
            <w:tcW w:w="1927" w:type="dxa"/>
            <w:tcBorders>
              <w:top w:val="nil"/>
              <w:bottom w:val="nil"/>
              <w:right w:val="single" w:sz="4" w:space="0" w:color="auto"/>
            </w:tcBorders>
            <w:shd w:val="clear" w:color="auto" w:fill="auto"/>
            <w:noWrap/>
            <w:tcMar>
              <w:left w:w="57" w:type="dxa"/>
              <w:right w:w="57" w:type="dxa"/>
            </w:tcMar>
            <w:vAlign w:val="center"/>
          </w:tcPr>
          <w:p w:rsidR="00BE545F" w:rsidRDefault="00BE545F" w:rsidP="004E0402">
            <w:pPr>
              <w:tabs>
                <w:tab w:val="decimal" w:pos="1188"/>
              </w:tabs>
              <w:spacing w:before="20" w:after="20"/>
              <w:jc w:val="both"/>
              <w:rPr>
                <w:rFonts w:ascii="Arial Narrow" w:hAnsi="Arial Narrow" w:cs="Arial"/>
                <w:sz w:val="16"/>
                <w:szCs w:val="16"/>
              </w:rPr>
            </w:pPr>
            <w:r>
              <w:rPr>
                <w:rFonts w:ascii="Arial Narrow" w:hAnsi="Arial Narrow" w:cs="Arial"/>
                <w:sz w:val="16"/>
                <w:szCs w:val="16"/>
              </w:rPr>
              <w:t>740.428</w:t>
            </w:r>
          </w:p>
        </w:tc>
      </w:tr>
      <w:tr w:rsidR="00BE545F" w:rsidRPr="0015043C" w:rsidTr="004B1E21">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BE545F" w:rsidRPr="00582730" w:rsidRDefault="00BE545F" w:rsidP="004B1E21">
            <w:pPr>
              <w:spacing w:before="20" w:after="20"/>
              <w:jc w:val="center"/>
              <w:rPr>
                <w:rFonts w:ascii="Arial Narrow" w:hAnsi="Arial Narrow"/>
                <w:sz w:val="16"/>
                <w:szCs w:val="20"/>
              </w:rPr>
            </w:pPr>
            <w:r>
              <w:rPr>
                <w:rFonts w:ascii="Arial Narrow" w:hAnsi="Arial Narrow"/>
                <w:sz w:val="16"/>
                <w:szCs w:val="20"/>
              </w:rPr>
              <w:t>2016</w:t>
            </w:r>
          </w:p>
        </w:tc>
        <w:tc>
          <w:tcPr>
            <w:tcW w:w="2216" w:type="dxa"/>
            <w:tcBorders>
              <w:top w:val="nil"/>
              <w:bottom w:val="nil"/>
            </w:tcBorders>
            <w:shd w:val="clear" w:color="auto" w:fill="auto"/>
            <w:noWrap/>
            <w:tcMar>
              <w:left w:w="57" w:type="dxa"/>
              <w:right w:w="57" w:type="dxa"/>
            </w:tcMar>
            <w:vAlign w:val="center"/>
          </w:tcPr>
          <w:p w:rsidR="00BE545F" w:rsidRDefault="00BE545F" w:rsidP="004B1E21">
            <w:pPr>
              <w:tabs>
                <w:tab w:val="decimal" w:pos="1281"/>
              </w:tabs>
              <w:spacing w:before="20" w:after="20"/>
              <w:jc w:val="both"/>
              <w:rPr>
                <w:rFonts w:ascii="Arial Narrow" w:hAnsi="Arial Narrow" w:cs="Arial"/>
                <w:sz w:val="16"/>
                <w:szCs w:val="16"/>
              </w:rPr>
            </w:pPr>
            <w:r>
              <w:rPr>
                <w:rFonts w:ascii="Arial Narrow" w:hAnsi="Arial Narrow" w:cs="Arial"/>
                <w:sz w:val="16"/>
                <w:szCs w:val="16"/>
              </w:rPr>
              <w:t>40.941</w:t>
            </w:r>
          </w:p>
        </w:tc>
        <w:tc>
          <w:tcPr>
            <w:tcW w:w="2885" w:type="dxa"/>
            <w:tcBorders>
              <w:top w:val="nil"/>
              <w:bottom w:val="nil"/>
            </w:tcBorders>
            <w:shd w:val="clear" w:color="auto" w:fill="auto"/>
            <w:noWrap/>
            <w:tcMar>
              <w:left w:w="57" w:type="dxa"/>
              <w:right w:w="57" w:type="dxa"/>
            </w:tcMar>
            <w:vAlign w:val="center"/>
          </w:tcPr>
          <w:p w:rsidR="00BE545F" w:rsidRDefault="00BE545F" w:rsidP="004B1E21">
            <w:pPr>
              <w:tabs>
                <w:tab w:val="decimal" w:pos="1522"/>
              </w:tabs>
              <w:spacing w:before="20" w:after="20"/>
              <w:jc w:val="both"/>
              <w:rPr>
                <w:rFonts w:ascii="Arial Narrow" w:hAnsi="Arial Narrow" w:cs="Arial"/>
                <w:sz w:val="16"/>
                <w:szCs w:val="16"/>
              </w:rPr>
            </w:pPr>
            <w:r>
              <w:rPr>
                <w:rFonts w:ascii="Arial Narrow" w:hAnsi="Arial Narrow" w:cs="Arial"/>
                <w:sz w:val="16"/>
                <w:szCs w:val="16"/>
              </w:rPr>
              <w:t>490.322</w:t>
            </w:r>
          </w:p>
        </w:tc>
        <w:tc>
          <w:tcPr>
            <w:tcW w:w="1927" w:type="dxa"/>
            <w:tcBorders>
              <w:top w:val="nil"/>
              <w:bottom w:val="nil"/>
              <w:right w:val="single" w:sz="4" w:space="0" w:color="auto"/>
            </w:tcBorders>
            <w:shd w:val="clear" w:color="auto" w:fill="auto"/>
            <w:noWrap/>
            <w:tcMar>
              <w:left w:w="57" w:type="dxa"/>
              <w:right w:w="57" w:type="dxa"/>
            </w:tcMar>
            <w:vAlign w:val="center"/>
          </w:tcPr>
          <w:p w:rsidR="00BE545F" w:rsidRDefault="00BE545F" w:rsidP="004E0402">
            <w:pPr>
              <w:tabs>
                <w:tab w:val="decimal" w:pos="1188"/>
              </w:tabs>
              <w:spacing w:before="20" w:after="20"/>
              <w:jc w:val="both"/>
              <w:rPr>
                <w:rFonts w:ascii="Arial Narrow" w:hAnsi="Arial Narrow" w:cs="Arial"/>
                <w:sz w:val="16"/>
                <w:szCs w:val="16"/>
              </w:rPr>
            </w:pPr>
            <w:r>
              <w:rPr>
                <w:rFonts w:ascii="Arial Narrow" w:hAnsi="Arial Narrow" w:cs="Arial"/>
                <w:sz w:val="16"/>
                <w:szCs w:val="16"/>
              </w:rPr>
              <w:t>531.263</w:t>
            </w:r>
          </w:p>
        </w:tc>
      </w:tr>
      <w:tr w:rsidR="00BE545F" w:rsidRPr="0015043C" w:rsidTr="004B1E21">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BE545F" w:rsidRDefault="00BE545F" w:rsidP="004B1E21">
            <w:pPr>
              <w:spacing w:before="20" w:after="20"/>
              <w:jc w:val="center"/>
              <w:rPr>
                <w:rFonts w:ascii="Arial Narrow" w:hAnsi="Arial Narrow"/>
                <w:sz w:val="16"/>
                <w:szCs w:val="20"/>
              </w:rPr>
            </w:pPr>
            <w:r>
              <w:rPr>
                <w:rFonts w:ascii="Arial Narrow" w:hAnsi="Arial Narrow"/>
                <w:sz w:val="16"/>
                <w:szCs w:val="20"/>
              </w:rPr>
              <w:t>2017</w:t>
            </w:r>
          </w:p>
        </w:tc>
        <w:tc>
          <w:tcPr>
            <w:tcW w:w="2216" w:type="dxa"/>
            <w:tcBorders>
              <w:top w:val="nil"/>
              <w:bottom w:val="nil"/>
            </w:tcBorders>
            <w:shd w:val="clear" w:color="auto" w:fill="auto"/>
            <w:noWrap/>
            <w:tcMar>
              <w:left w:w="57" w:type="dxa"/>
              <w:right w:w="57" w:type="dxa"/>
            </w:tcMar>
            <w:vAlign w:val="center"/>
          </w:tcPr>
          <w:p w:rsidR="00BE545F" w:rsidRDefault="00BE545F" w:rsidP="004B1E21">
            <w:pPr>
              <w:tabs>
                <w:tab w:val="decimal" w:pos="1281"/>
              </w:tabs>
              <w:spacing w:before="20" w:after="20"/>
              <w:jc w:val="both"/>
              <w:rPr>
                <w:rFonts w:ascii="Arial Narrow" w:hAnsi="Arial Narrow" w:cs="Arial"/>
                <w:sz w:val="16"/>
                <w:szCs w:val="16"/>
              </w:rPr>
            </w:pPr>
            <w:r>
              <w:rPr>
                <w:rFonts w:ascii="Arial Narrow" w:hAnsi="Arial Narrow" w:cs="Arial"/>
                <w:sz w:val="16"/>
                <w:szCs w:val="16"/>
              </w:rPr>
              <w:t>41.087</w:t>
            </w:r>
          </w:p>
        </w:tc>
        <w:tc>
          <w:tcPr>
            <w:tcW w:w="2885" w:type="dxa"/>
            <w:tcBorders>
              <w:top w:val="nil"/>
              <w:bottom w:val="nil"/>
            </w:tcBorders>
            <w:shd w:val="clear" w:color="auto" w:fill="auto"/>
            <w:noWrap/>
            <w:tcMar>
              <w:left w:w="57" w:type="dxa"/>
              <w:right w:w="57" w:type="dxa"/>
            </w:tcMar>
            <w:vAlign w:val="center"/>
          </w:tcPr>
          <w:p w:rsidR="00BE545F" w:rsidRDefault="00BE545F" w:rsidP="004B1E21">
            <w:pPr>
              <w:tabs>
                <w:tab w:val="decimal" w:pos="1522"/>
              </w:tabs>
              <w:spacing w:before="20" w:after="20"/>
              <w:jc w:val="both"/>
              <w:rPr>
                <w:rFonts w:ascii="Arial Narrow" w:hAnsi="Arial Narrow" w:cs="Arial"/>
                <w:sz w:val="16"/>
                <w:szCs w:val="16"/>
              </w:rPr>
            </w:pPr>
            <w:r>
              <w:rPr>
                <w:rFonts w:ascii="Arial Narrow" w:hAnsi="Arial Narrow" w:cs="Arial"/>
                <w:sz w:val="16"/>
                <w:szCs w:val="16"/>
              </w:rPr>
              <w:t>525.911</w:t>
            </w:r>
          </w:p>
        </w:tc>
        <w:tc>
          <w:tcPr>
            <w:tcW w:w="1927" w:type="dxa"/>
            <w:tcBorders>
              <w:top w:val="nil"/>
              <w:bottom w:val="nil"/>
              <w:right w:val="single" w:sz="4" w:space="0" w:color="auto"/>
            </w:tcBorders>
            <w:shd w:val="clear" w:color="auto" w:fill="auto"/>
            <w:noWrap/>
            <w:tcMar>
              <w:left w:w="57" w:type="dxa"/>
              <w:right w:w="57" w:type="dxa"/>
            </w:tcMar>
            <w:vAlign w:val="center"/>
          </w:tcPr>
          <w:p w:rsidR="00BE545F" w:rsidRDefault="00BE545F" w:rsidP="004E0402">
            <w:pPr>
              <w:tabs>
                <w:tab w:val="decimal" w:pos="1188"/>
              </w:tabs>
              <w:spacing w:before="20" w:after="20"/>
              <w:jc w:val="both"/>
              <w:rPr>
                <w:rFonts w:ascii="Arial Narrow" w:hAnsi="Arial Narrow" w:cs="Arial"/>
                <w:sz w:val="16"/>
                <w:szCs w:val="16"/>
              </w:rPr>
            </w:pPr>
            <w:r>
              <w:rPr>
                <w:rFonts w:ascii="Arial Narrow" w:hAnsi="Arial Narrow" w:cs="Arial"/>
                <w:sz w:val="16"/>
                <w:szCs w:val="16"/>
              </w:rPr>
              <w:t>566.998</w:t>
            </w:r>
          </w:p>
        </w:tc>
      </w:tr>
      <w:tr w:rsidR="00BE545F" w:rsidRPr="0015043C" w:rsidTr="00BE545F">
        <w:trPr>
          <w:trHeight w:val="20"/>
        </w:trPr>
        <w:tc>
          <w:tcPr>
            <w:tcW w:w="2108" w:type="dxa"/>
            <w:tcBorders>
              <w:top w:val="nil"/>
              <w:left w:val="single" w:sz="4" w:space="0" w:color="auto"/>
              <w:bottom w:val="nil"/>
            </w:tcBorders>
            <w:shd w:val="clear" w:color="auto" w:fill="auto"/>
            <w:noWrap/>
            <w:tcMar>
              <w:left w:w="57" w:type="dxa"/>
              <w:right w:w="57" w:type="dxa"/>
            </w:tcMar>
            <w:vAlign w:val="bottom"/>
          </w:tcPr>
          <w:p w:rsidR="00BE545F" w:rsidRPr="00BE545F" w:rsidRDefault="00BE545F" w:rsidP="004B1E21">
            <w:pPr>
              <w:spacing w:before="20" w:after="20"/>
              <w:jc w:val="center"/>
              <w:rPr>
                <w:rFonts w:ascii="Arial Narrow" w:hAnsi="Arial Narrow"/>
                <w:sz w:val="16"/>
                <w:szCs w:val="20"/>
                <w:lang w:val="en-US"/>
              </w:rPr>
            </w:pPr>
            <w:r>
              <w:rPr>
                <w:rFonts w:ascii="Arial Narrow" w:hAnsi="Arial Narrow"/>
                <w:sz w:val="16"/>
                <w:szCs w:val="20"/>
              </w:rPr>
              <w:t>2018</w:t>
            </w:r>
          </w:p>
        </w:tc>
        <w:tc>
          <w:tcPr>
            <w:tcW w:w="2216" w:type="dxa"/>
            <w:tcBorders>
              <w:top w:val="nil"/>
              <w:bottom w:val="nil"/>
            </w:tcBorders>
            <w:shd w:val="clear" w:color="auto" w:fill="auto"/>
            <w:noWrap/>
            <w:tcMar>
              <w:left w:w="57" w:type="dxa"/>
              <w:right w:w="57" w:type="dxa"/>
            </w:tcMar>
            <w:vAlign w:val="center"/>
          </w:tcPr>
          <w:p w:rsidR="00BE545F" w:rsidRPr="00BE545F" w:rsidRDefault="00BE545F" w:rsidP="004B1E21">
            <w:pPr>
              <w:tabs>
                <w:tab w:val="decimal" w:pos="1281"/>
              </w:tabs>
              <w:spacing w:before="20" w:after="20"/>
              <w:jc w:val="both"/>
              <w:rPr>
                <w:rFonts w:ascii="Arial Narrow" w:hAnsi="Arial Narrow" w:cs="Arial"/>
                <w:sz w:val="16"/>
                <w:szCs w:val="16"/>
                <w:lang w:val="en-US"/>
              </w:rPr>
            </w:pPr>
            <w:r>
              <w:rPr>
                <w:rFonts w:ascii="Arial Narrow" w:hAnsi="Arial Narrow" w:cs="Arial"/>
                <w:sz w:val="16"/>
                <w:szCs w:val="16"/>
                <w:lang w:val="en-US"/>
              </w:rPr>
              <w:t>34.668</w:t>
            </w:r>
          </w:p>
        </w:tc>
        <w:tc>
          <w:tcPr>
            <w:tcW w:w="2885" w:type="dxa"/>
            <w:tcBorders>
              <w:top w:val="nil"/>
              <w:bottom w:val="nil"/>
            </w:tcBorders>
            <w:shd w:val="clear" w:color="auto" w:fill="auto"/>
            <w:noWrap/>
            <w:tcMar>
              <w:left w:w="57" w:type="dxa"/>
              <w:right w:w="57" w:type="dxa"/>
            </w:tcMar>
            <w:vAlign w:val="center"/>
          </w:tcPr>
          <w:p w:rsidR="00BE545F" w:rsidRPr="00BE545F" w:rsidRDefault="00BE545F" w:rsidP="004B1E21">
            <w:pPr>
              <w:tabs>
                <w:tab w:val="decimal" w:pos="1522"/>
              </w:tabs>
              <w:spacing w:before="20" w:after="20"/>
              <w:jc w:val="both"/>
              <w:rPr>
                <w:rFonts w:ascii="Arial Narrow" w:hAnsi="Arial Narrow" w:cs="Arial"/>
                <w:sz w:val="16"/>
                <w:szCs w:val="16"/>
                <w:lang w:val="en-US"/>
              </w:rPr>
            </w:pPr>
            <w:r>
              <w:rPr>
                <w:rFonts w:ascii="Arial Narrow" w:hAnsi="Arial Narrow" w:cs="Arial"/>
                <w:sz w:val="16"/>
                <w:szCs w:val="16"/>
                <w:lang w:val="en-US"/>
              </w:rPr>
              <w:t>772.604</w:t>
            </w:r>
          </w:p>
        </w:tc>
        <w:tc>
          <w:tcPr>
            <w:tcW w:w="1927" w:type="dxa"/>
            <w:tcBorders>
              <w:top w:val="nil"/>
              <w:bottom w:val="nil"/>
              <w:right w:val="single" w:sz="4" w:space="0" w:color="auto"/>
            </w:tcBorders>
            <w:shd w:val="clear" w:color="auto" w:fill="auto"/>
            <w:noWrap/>
            <w:tcMar>
              <w:left w:w="57" w:type="dxa"/>
              <w:right w:w="57" w:type="dxa"/>
            </w:tcMar>
            <w:vAlign w:val="center"/>
          </w:tcPr>
          <w:p w:rsidR="00BE545F" w:rsidRPr="00BE545F" w:rsidRDefault="00BE545F" w:rsidP="004E0402">
            <w:pPr>
              <w:tabs>
                <w:tab w:val="decimal" w:pos="1188"/>
              </w:tabs>
              <w:spacing w:before="20" w:after="20"/>
              <w:jc w:val="both"/>
              <w:rPr>
                <w:rFonts w:ascii="Arial Narrow" w:hAnsi="Arial Narrow" w:cs="Arial"/>
                <w:sz w:val="16"/>
                <w:szCs w:val="16"/>
                <w:lang w:val="en-US"/>
              </w:rPr>
            </w:pPr>
            <w:r>
              <w:rPr>
                <w:rFonts w:ascii="Arial Narrow" w:hAnsi="Arial Narrow" w:cs="Arial"/>
                <w:sz w:val="16"/>
                <w:szCs w:val="16"/>
                <w:lang w:val="en-US"/>
              </w:rPr>
              <w:t>807.272</w:t>
            </w:r>
          </w:p>
        </w:tc>
      </w:tr>
      <w:tr w:rsidR="00BE545F" w:rsidRPr="0015043C" w:rsidTr="004B1E21">
        <w:trPr>
          <w:trHeight w:val="20"/>
        </w:trPr>
        <w:tc>
          <w:tcPr>
            <w:tcW w:w="2108" w:type="dxa"/>
            <w:tcBorders>
              <w:top w:val="nil"/>
              <w:left w:val="single" w:sz="4" w:space="0" w:color="auto"/>
              <w:bottom w:val="single" w:sz="4" w:space="0" w:color="auto"/>
            </w:tcBorders>
            <w:shd w:val="clear" w:color="auto" w:fill="auto"/>
            <w:noWrap/>
            <w:tcMar>
              <w:left w:w="57" w:type="dxa"/>
              <w:right w:w="57" w:type="dxa"/>
            </w:tcMar>
            <w:vAlign w:val="bottom"/>
          </w:tcPr>
          <w:p w:rsidR="00BE545F" w:rsidRPr="00BE545F" w:rsidRDefault="00BE545F" w:rsidP="004B1E21">
            <w:pPr>
              <w:spacing w:before="20" w:after="20"/>
              <w:jc w:val="center"/>
              <w:rPr>
                <w:rFonts w:ascii="Arial Narrow" w:hAnsi="Arial Narrow"/>
                <w:sz w:val="16"/>
                <w:szCs w:val="20"/>
                <w:lang w:val="en-US"/>
              </w:rPr>
            </w:pPr>
            <w:r>
              <w:rPr>
                <w:rFonts w:ascii="Arial Narrow" w:hAnsi="Arial Narrow"/>
                <w:sz w:val="16"/>
                <w:szCs w:val="20"/>
                <w:lang w:val="en-US"/>
              </w:rPr>
              <w:t>2019*</w:t>
            </w:r>
          </w:p>
        </w:tc>
        <w:tc>
          <w:tcPr>
            <w:tcW w:w="2216" w:type="dxa"/>
            <w:tcBorders>
              <w:top w:val="nil"/>
              <w:bottom w:val="single" w:sz="4" w:space="0" w:color="auto"/>
            </w:tcBorders>
            <w:shd w:val="clear" w:color="auto" w:fill="auto"/>
            <w:noWrap/>
            <w:tcMar>
              <w:left w:w="57" w:type="dxa"/>
              <w:right w:w="57" w:type="dxa"/>
            </w:tcMar>
            <w:vAlign w:val="center"/>
          </w:tcPr>
          <w:p w:rsidR="00BE545F" w:rsidRPr="00BE545F" w:rsidRDefault="00BE545F" w:rsidP="004B1E21">
            <w:pPr>
              <w:tabs>
                <w:tab w:val="decimal" w:pos="1281"/>
              </w:tabs>
              <w:spacing w:before="20" w:after="20"/>
              <w:jc w:val="both"/>
              <w:rPr>
                <w:rFonts w:ascii="Arial Narrow" w:hAnsi="Arial Narrow" w:cs="Arial"/>
                <w:sz w:val="16"/>
                <w:szCs w:val="16"/>
                <w:lang w:val="en-US"/>
              </w:rPr>
            </w:pPr>
            <w:r>
              <w:rPr>
                <w:rFonts w:ascii="Arial Narrow" w:hAnsi="Arial Narrow" w:cs="Arial"/>
                <w:sz w:val="16"/>
                <w:szCs w:val="16"/>
                <w:lang w:val="en-US"/>
              </w:rPr>
              <w:t>30.552</w:t>
            </w:r>
          </w:p>
        </w:tc>
        <w:tc>
          <w:tcPr>
            <w:tcW w:w="2885" w:type="dxa"/>
            <w:tcBorders>
              <w:top w:val="nil"/>
              <w:bottom w:val="single" w:sz="4" w:space="0" w:color="auto"/>
            </w:tcBorders>
            <w:shd w:val="clear" w:color="auto" w:fill="auto"/>
            <w:noWrap/>
            <w:tcMar>
              <w:left w:w="57" w:type="dxa"/>
              <w:right w:w="57" w:type="dxa"/>
            </w:tcMar>
            <w:vAlign w:val="center"/>
          </w:tcPr>
          <w:p w:rsidR="00BE545F" w:rsidRPr="00BE545F" w:rsidRDefault="00BE545F" w:rsidP="004B1E21">
            <w:pPr>
              <w:tabs>
                <w:tab w:val="decimal" w:pos="1522"/>
              </w:tabs>
              <w:spacing w:before="20" w:after="20"/>
              <w:jc w:val="both"/>
              <w:rPr>
                <w:rFonts w:ascii="Arial Narrow" w:hAnsi="Arial Narrow" w:cs="Arial"/>
                <w:sz w:val="16"/>
                <w:szCs w:val="16"/>
                <w:lang w:val="en-US"/>
              </w:rPr>
            </w:pPr>
            <w:r>
              <w:rPr>
                <w:rFonts w:ascii="Arial Narrow" w:hAnsi="Arial Narrow" w:cs="Arial"/>
                <w:sz w:val="16"/>
                <w:szCs w:val="16"/>
                <w:lang w:val="en-US"/>
              </w:rPr>
              <w:t>950.000</w:t>
            </w:r>
          </w:p>
        </w:tc>
        <w:tc>
          <w:tcPr>
            <w:tcW w:w="1927" w:type="dxa"/>
            <w:tcBorders>
              <w:top w:val="nil"/>
              <w:bottom w:val="single" w:sz="4" w:space="0" w:color="auto"/>
              <w:right w:val="single" w:sz="4" w:space="0" w:color="auto"/>
            </w:tcBorders>
            <w:shd w:val="clear" w:color="auto" w:fill="auto"/>
            <w:noWrap/>
            <w:tcMar>
              <w:left w:w="57" w:type="dxa"/>
              <w:right w:w="57" w:type="dxa"/>
            </w:tcMar>
            <w:vAlign w:val="center"/>
          </w:tcPr>
          <w:p w:rsidR="00BE545F" w:rsidRPr="00BE545F" w:rsidRDefault="00BE545F" w:rsidP="004E0402">
            <w:pPr>
              <w:tabs>
                <w:tab w:val="decimal" w:pos="1188"/>
              </w:tabs>
              <w:spacing w:before="20" w:after="20"/>
              <w:jc w:val="both"/>
              <w:rPr>
                <w:rFonts w:ascii="Arial Narrow" w:hAnsi="Arial Narrow" w:cs="Arial"/>
                <w:sz w:val="16"/>
                <w:szCs w:val="16"/>
                <w:lang w:val="en-US"/>
              </w:rPr>
            </w:pPr>
            <w:r>
              <w:rPr>
                <w:rFonts w:ascii="Arial Narrow" w:hAnsi="Arial Narrow" w:cs="Arial"/>
                <w:sz w:val="16"/>
                <w:szCs w:val="16"/>
                <w:lang w:val="en-US"/>
              </w:rPr>
              <w:t>980.522</w:t>
            </w:r>
          </w:p>
        </w:tc>
      </w:tr>
    </w:tbl>
    <w:p w:rsidR="00BE545F" w:rsidRPr="000107A3" w:rsidRDefault="00BE545F" w:rsidP="00BE545F">
      <w:pPr>
        <w:tabs>
          <w:tab w:val="left" w:pos="2216"/>
          <w:tab w:val="left" w:pos="4432"/>
          <w:tab w:val="left" w:pos="7317"/>
        </w:tabs>
        <w:ind w:left="108"/>
        <w:rPr>
          <w:rFonts w:ascii="Arial Narrow" w:hAnsi="Arial Narrow"/>
          <w:sz w:val="16"/>
          <w:szCs w:val="20"/>
          <w:lang w:val="en-US"/>
        </w:rPr>
      </w:pPr>
      <w:r w:rsidRPr="0015043C">
        <w:rPr>
          <w:rFonts w:ascii="Arial Narrow" w:hAnsi="Arial Narrow"/>
          <w:sz w:val="16"/>
          <w:szCs w:val="20"/>
          <w:lang w:val="en-GB"/>
        </w:rPr>
        <w:t xml:space="preserve">*    </w:t>
      </w:r>
      <w:r w:rsidRPr="0015043C">
        <w:rPr>
          <w:rFonts w:ascii="Arial Narrow" w:hAnsi="Arial Narrow"/>
          <w:sz w:val="16"/>
          <w:szCs w:val="20"/>
        </w:rPr>
        <w:t>Εκτιμήσεις</w:t>
      </w:r>
      <w:r w:rsidRPr="0015043C">
        <w:rPr>
          <w:rFonts w:ascii="Arial Narrow" w:hAnsi="Arial Narrow"/>
          <w:sz w:val="16"/>
          <w:szCs w:val="20"/>
          <w:lang w:val="en-GB"/>
        </w:rPr>
        <w:t xml:space="preserve">    </w:t>
      </w:r>
    </w:p>
    <w:p w:rsidR="00BE545F" w:rsidRPr="00D40888" w:rsidRDefault="00BE545F" w:rsidP="00BE545F">
      <w:pPr>
        <w:tabs>
          <w:tab w:val="left" w:pos="2216"/>
          <w:tab w:val="left" w:pos="4432"/>
          <w:tab w:val="left" w:pos="7317"/>
        </w:tabs>
        <w:ind w:left="108"/>
        <w:rPr>
          <w:rFonts w:ascii="Arial Narrow" w:hAnsi="Arial Narrow"/>
          <w:sz w:val="16"/>
          <w:szCs w:val="20"/>
        </w:rPr>
      </w:pPr>
      <w:r>
        <w:rPr>
          <w:rFonts w:ascii="Arial Narrow" w:hAnsi="Arial Narrow"/>
          <w:sz w:val="16"/>
          <w:szCs w:val="20"/>
        </w:rPr>
        <w:t>Πηγή:  ΟΔΔΗΧ</w:t>
      </w:r>
      <w:r w:rsidRPr="00D40888">
        <w:rPr>
          <w:rFonts w:ascii="Arial Narrow" w:hAnsi="Arial Narrow"/>
          <w:sz w:val="16"/>
          <w:szCs w:val="20"/>
        </w:rPr>
        <w:tab/>
      </w:r>
    </w:p>
    <w:p w:rsidR="00D40888" w:rsidRPr="00683A95" w:rsidRDefault="00D40888" w:rsidP="00D40888">
      <w:pPr>
        <w:jc w:val="both"/>
        <w:rPr>
          <w:sz w:val="22"/>
          <w:szCs w:val="22"/>
        </w:rPr>
      </w:pPr>
      <w:r w:rsidRPr="00247846">
        <w:rPr>
          <w:sz w:val="22"/>
          <w:szCs w:val="22"/>
        </w:rPr>
        <w:lastRenderedPageBreak/>
        <w:t>Όπως φαίνεται στον</w:t>
      </w:r>
      <w:r>
        <w:rPr>
          <w:sz w:val="22"/>
          <w:szCs w:val="22"/>
        </w:rPr>
        <w:t xml:space="preserve"> παρακάτω</w:t>
      </w:r>
      <w:r w:rsidRPr="00247846">
        <w:rPr>
          <w:sz w:val="22"/>
          <w:szCs w:val="22"/>
        </w:rPr>
        <w:t xml:space="preserve"> πίνακα, οι δαπάνες για τόκους του χρέους της Κεντρικής Διοίκησης διαμορφώνονται κοντά στα επίπεδα των 5.500-6.</w:t>
      </w:r>
      <w:r>
        <w:rPr>
          <w:sz w:val="22"/>
          <w:szCs w:val="22"/>
        </w:rPr>
        <w:t>2</w:t>
      </w:r>
      <w:r w:rsidRPr="00247846">
        <w:rPr>
          <w:sz w:val="22"/>
          <w:szCs w:val="22"/>
        </w:rPr>
        <w:t>00 εκατ. ευρώ, ενώ το ύψος των δαπανών για τ</w:t>
      </w:r>
      <w:r w:rsidRPr="00247846">
        <w:rPr>
          <w:sz w:val="22"/>
          <w:szCs w:val="22"/>
        </w:rPr>
        <w:t>ό</w:t>
      </w:r>
      <w:r w:rsidRPr="00247846">
        <w:rPr>
          <w:sz w:val="22"/>
          <w:szCs w:val="22"/>
        </w:rPr>
        <w:t>κο</w:t>
      </w:r>
      <w:r>
        <w:rPr>
          <w:sz w:val="22"/>
          <w:szCs w:val="22"/>
        </w:rPr>
        <w:t xml:space="preserve">υς διαμορφώνεται </w:t>
      </w:r>
      <w:r w:rsidR="00093A16">
        <w:rPr>
          <w:sz w:val="22"/>
          <w:szCs w:val="22"/>
        </w:rPr>
        <w:t>περίπου</w:t>
      </w:r>
      <w:r>
        <w:rPr>
          <w:sz w:val="22"/>
          <w:szCs w:val="22"/>
        </w:rPr>
        <w:t xml:space="preserve"> στο 3%-3,</w:t>
      </w:r>
      <w:r w:rsidR="00093A16">
        <w:rPr>
          <w:sz w:val="22"/>
          <w:szCs w:val="22"/>
        </w:rPr>
        <w:t>4</w:t>
      </w:r>
      <w:r w:rsidRPr="00247846">
        <w:rPr>
          <w:sz w:val="22"/>
          <w:szCs w:val="22"/>
        </w:rPr>
        <w:t xml:space="preserve">% ως ποσοστό του ΑΕΠ. </w:t>
      </w:r>
      <w:r w:rsidRPr="00BA5BCD">
        <w:rPr>
          <w:sz w:val="22"/>
          <w:szCs w:val="22"/>
        </w:rPr>
        <w:t>Οι μειωμένες δαπάνες τόκων τα τελευταία χρόνια οφείλονται στη μείωση του ύψους του δημόσιου χρέους μετά την ανταλλαγή των ομολόγων (</w:t>
      </w:r>
      <w:r w:rsidRPr="00BA5BCD">
        <w:rPr>
          <w:sz w:val="22"/>
          <w:szCs w:val="22"/>
          <w:lang w:val="en-US"/>
        </w:rPr>
        <w:t>PSI</w:t>
      </w:r>
      <w:r w:rsidRPr="00BA5BCD">
        <w:rPr>
          <w:sz w:val="22"/>
          <w:szCs w:val="22"/>
        </w:rPr>
        <w:t>) του Μαρτίου 2012 και την επαναγορά του Δεκεμβρίου 2012, τη μείωση των επιτοκ</w:t>
      </w:r>
      <w:r w:rsidRPr="00BA5BCD">
        <w:rPr>
          <w:sz w:val="22"/>
          <w:szCs w:val="22"/>
        </w:rPr>
        <w:t>ί</w:t>
      </w:r>
      <w:r w:rsidRPr="00BA5BCD">
        <w:rPr>
          <w:sz w:val="22"/>
          <w:szCs w:val="22"/>
        </w:rPr>
        <w:t>ων των δανείων του μηχανισμού στήριξης και την αναβολή καταβολής τόκων για τα δάνεια που χ</w:t>
      </w:r>
      <w:r w:rsidRPr="00BA5BCD">
        <w:rPr>
          <w:sz w:val="22"/>
          <w:szCs w:val="22"/>
        </w:rPr>
        <w:t>ο</w:t>
      </w:r>
      <w:r w:rsidRPr="00BA5BCD">
        <w:rPr>
          <w:sz w:val="22"/>
          <w:szCs w:val="22"/>
        </w:rPr>
        <w:t>ρηγήθηκαν από το Ευρωπαϊκό Ταμείο Χρηματοπιστωτικής Σταθερότητας</w:t>
      </w:r>
      <w:r>
        <w:rPr>
          <w:sz w:val="22"/>
          <w:szCs w:val="22"/>
        </w:rPr>
        <w:t xml:space="preserve"> (πίνακας 4.9, δ</w:t>
      </w:r>
      <w:r w:rsidRPr="00683A95">
        <w:rPr>
          <w:sz w:val="22"/>
          <w:szCs w:val="22"/>
        </w:rPr>
        <w:t>ιάγραμμα 4.3).</w:t>
      </w:r>
    </w:p>
    <w:p w:rsidR="00D40888" w:rsidRDefault="00D40888">
      <w:pPr>
        <w:rPr>
          <w:rFonts w:ascii="Arial Narrow" w:hAnsi="Arial Narrow"/>
          <w:b/>
          <w:color w:val="FFFFFF"/>
          <w:sz w:val="26"/>
          <w:szCs w:val="26"/>
        </w:rPr>
      </w:pPr>
    </w:p>
    <w:tbl>
      <w:tblPr>
        <w:tblW w:w="9225" w:type="dxa"/>
        <w:jc w:val="center"/>
        <w:tblLayout w:type="fixed"/>
        <w:tblCellMar>
          <w:left w:w="0" w:type="dxa"/>
          <w:right w:w="0" w:type="dxa"/>
        </w:tblCellMar>
        <w:tblLook w:val="0000"/>
      </w:tblPr>
      <w:tblGrid>
        <w:gridCol w:w="2885"/>
        <w:gridCol w:w="1152"/>
        <w:gridCol w:w="1080"/>
        <w:gridCol w:w="1080"/>
        <w:gridCol w:w="1080"/>
        <w:gridCol w:w="1080"/>
        <w:gridCol w:w="868"/>
      </w:tblGrid>
      <w:tr w:rsidR="00D40888" w:rsidRPr="0015043C" w:rsidTr="004B1E21">
        <w:trPr>
          <w:jc w:val="center"/>
        </w:trPr>
        <w:tc>
          <w:tcPr>
            <w:tcW w:w="9225" w:type="dxa"/>
            <w:gridSpan w:val="7"/>
            <w:tcBorders>
              <w:top w:val="single" w:sz="4" w:space="0" w:color="auto"/>
              <w:left w:val="single" w:sz="4" w:space="0" w:color="auto"/>
              <w:right w:val="single" w:sz="4" w:space="0" w:color="auto"/>
            </w:tcBorders>
            <w:shd w:val="clear" w:color="auto" w:fill="404040" w:themeFill="text1" w:themeFillTint="BF"/>
            <w:noWrap/>
            <w:tcMar>
              <w:top w:w="15" w:type="dxa"/>
              <w:left w:w="15" w:type="dxa"/>
              <w:bottom w:w="0" w:type="dxa"/>
              <w:right w:w="15" w:type="dxa"/>
            </w:tcMar>
            <w:vAlign w:val="bottom"/>
          </w:tcPr>
          <w:p w:rsidR="00D40888" w:rsidRPr="0015043C" w:rsidRDefault="00D40888" w:rsidP="004B1E21">
            <w:pPr>
              <w:autoSpaceDE w:val="0"/>
              <w:autoSpaceDN w:val="0"/>
              <w:adjustRightInd w:val="0"/>
              <w:spacing w:before="120"/>
              <w:jc w:val="center"/>
              <w:rPr>
                <w:rFonts w:ascii="Arial Narrow" w:hAnsi="Arial Narrow" w:cs="TimesNewRoman,Bold+1"/>
                <w:b/>
                <w:bCs/>
                <w:color w:val="FFFFFF"/>
              </w:rPr>
            </w:pPr>
            <w:r>
              <w:rPr>
                <w:rFonts w:ascii="Arial Narrow" w:hAnsi="Arial Narrow" w:cs="TimesNewRoman,Bold+1"/>
                <w:b/>
                <w:bCs/>
                <w:color w:val="FFFFFF"/>
              </w:rPr>
              <w:t>Πίνακας 4.9</w:t>
            </w:r>
            <w:r w:rsidRPr="0015043C">
              <w:rPr>
                <w:rFonts w:ascii="Arial Narrow" w:hAnsi="Arial Narrow" w:cs="TimesNewRoman,Bold+1"/>
                <w:b/>
                <w:bCs/>
                <w:color w:val="FFFFFF"/>
              </w:rPr>
              <w:t xml:space="preserve">  Ύψος δαπανών για τόκους χρέους Κεντρικής </w:t>
            </w:r>
            <w:r>
              <w:rPr>
                <w:rFonts w:ascii="Arial Narrow" w:hAnsi="Arial Narrow" w:cs="TimesNewRoman,Bold+1"/>
                <w:b/>
                <w:bCs/>
                <w:color w:val="FFFFFF"/>
              </w:rPr>
              <w:t>Διοίκησης</w:t>
            </w:r>
          </w:p>
          <w:p w:rsidR="00D40888" w:rsidRPr="0015043C" w:rsidRDefault="00D40888" w:rsidP="004B1E21">
            <w:pPr>
              <w:autoSpaceDE w:val="0"/>
              <w:autoSpaceDN w:val="0"/>
              <w:adjustRightInd w:val="0"/>
              <w:spacing w:after="120"/>
              <w:jc w:val="center"/>
              <w:rPr>
                <w:rFonts w:ascii="Arial Narrow" w:hAnsi="Arial Narrow" w:cs="TimesNewRoman,Bold+1"/>
                <w:b/>
                <w:bCs/>
                <w:color w:val="FFFFFF"/>
              </w:rPr>
            </w:pPr>
            <w:r w:rsidRPr="0015043C">
              <w:rPr>
                <w:rFonts w:ascii="Arial Narrow" w:hAnsi="Arial Narrow" w:cs="TimesNewRoman,Bold"/>
                <w:b/>
                <w:bCs/>
                <w:color w:val="FFFFFF"/>
              </w:rPr>
              <w:t>(</w:t>
            </w:r>
            <w:r w:rsidRPr="0015043C">
              <w:rPr>
                <w:rFonts w:ascii="Arial Narrow" w:hAnsi="Arial Narrow" w:cs="TimesNewRoman,Bold+1"/>
                <w:b/>
                <w:bCs/>
                <w:color w:val="FFFFFF"/>
              </w:rPr>
              <w:t>ποσά σε εκατ</w:t>
            </w:r>
            <w:r w:rsidRPr="0015043C">
              <w:rPr>
                <w:rFonts w:ascii="Arial Narrow" w:hAnsi="Arial Narrow" w:cs="TimesNewRoman,Bold"/>
                <w:b/>
                <w:bCs/>
                <w:color w:val="FFFFFF"/>
              </w:rPr>
              <w:t xml:space="preserve">. </w:t>
            </w:r>
            <w:r w:rsidRPr="0015043C">
              <w:rPr>
                <w:rFonts w:ascii="Arial Narrow" w:hAnsi="Arial Narrow" w:cs="TimesNewRoman,Bold+1"/>
                <w:b/>
                <w:bCs/>
                <w:color w:val="FFFFFF"/>
              </w:rPr>
              <w:t>ευρώ</w:t>
            </w:r>
            <w:r w:rsidRPr="0015043C">
              <w:rPr>
                <w:rFonts w:ascii="Arial Narrow" w:hAnsi="Arial Narrow" w:cs="TimesNewRoman,Bold"/>
                <w:b/>
                <w:bCs/>
                <w:color w:val="FFFFFF"/>
              </w:rPr>
              <w:t>)</w:t>
            </w:r>
          </w:p>
        </w:tc>
      </w:tr>
      <w:tr w:rsidR="00D40888" w:rsidRPr="00E80743" w:rsidTr="004B1E21">
        <w:trPr>
          <w:jc w:val="center"/>
        </w:trPr>
        <w:tc>
          <w:tcPr>
            <w:tcW w:w="9225" w:type="dxa"/>
            <w:gridSpan w:val="7"/>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D40888" w:rsidRPr="00E80743" w:rsidRDefault="00D40888" w:rsidP="004B1E21">
            <w:pPr>
              <w:jc w:val="center"/>
              <w:rPr>
                <w:rFonts w:ascii="Arial Narrow" w:hAnsi="Arial Narrow"/>
                <w:b/>
                <w:bCs/>
                <w:sz w:val="10"/>
              </w:rPr>
            </w:pPr>
          </w:p>
        </w:tc>
      </w:tr>
      <w:tr w:rsidR="00D40888" w:rsidRPr="0015043C" w:rsidTr="004B1E21">
        <w:trPr>
          <w:jc w:val="center"/>
        </w:trPr>
        <w:tc>
          <w:tcPr>
            <w:tcW w:w="288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40888" w:rsidRPr="0015043C" w:rsidRDefault="00D40888" w:rsidP="004B1E21">
            <w:pPr>
              <w:spacing w:before="60" w:after="60"/>
              <w:jc w:val="center"/>
              <w:rPr>
                <w:rFonts w:ascii="Arial Narrow" w:hAnsi="Arial Narrow"/>
                <w:b/>
                <w:bCs/>
                <w:sz w:val="16"/>
              </w:rPr>
            </w:pPr>
          </w:p>
        </w:tc>
        <w:tc>
          <w:tcPr>
            <w:tcW w:w="115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40888" w:rsidRPr="0015043C" w:rsidRDefault="00D40888" w:rsidP="004B1E21">
            <w:pPr>
              <w:spacing w:before="60" w:after="60"/>
              <w:jc w:val="center"/>
              <w:rPr>
                <w:rFonts w:ascii="Arial Narrow" w:hAnsi="Arial Narrow"/>
                <w:b/>
                <w:bCs/>
                <w:sz w:val="16"/>
              </w:rPr>
            </w:pPr>
            <w:r>
              <w:rPr>
                <w:rFonts w:ascii="Arial Narrow" w:hAnsi="Arial Narrow"/>
                <w:b/>
                <w:bCs/>
                <w:sz w:val="16"/>
              </w:rPr>
              <w:t>2015</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40888" w:rsidRPr="0015043C" w:rsidRDefault="00D40888" w:rsidP="004B1E21">
            <w:pPr>
              <w:spacing w:before="60" w:after="60"/>
              <w:jc w:val="center"/>
              <w:rPr>
                <w:rFonts w:ascii="Arial Narrow" w:hAnsi="Arial Narrow"/>
                <w:b/>
                <w:bCs/>
                <w:sz w:val="16"/>
              </w:rPr>
            </w:pPr>
            <w:r>
              <w:rPr>
                <w:rFonts w:ascii="Arial Narrow" w:hAnsi="Arial Narrow"/>
                <w:b/>
                <w:bCs/>
                <w:sz w:val="16"/>
              </w:rPr>
              <w:t>2016</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40888" w:rsidRPr="00E337AB" w:rsidRDefault="00D40888" w:rsidP="004B1E21">
            <w:pPr>
              <w:spacing w:before="60" w:after="60"/>
              <w:jc w:val="center"/>
              <w:rPr>
                <w:rFonts w:ascii="Arial Narrow" w:hAnsi="Arial Narrow"/>
                <w:b/>
                <w:bCs/>
                <w:sz w:val="16"/>
                <w:lang w:val="en-GB"/>
              </w:rPr>
            </w:pPr>
            <w:r>
              <w:rPr>
                <w:rFonts w:ascii="Arial Narrow" w:hAnsi="Arial Narrow"/>
                <w:b/>
                <w:bCs/>
                <w:sz w:val="16"/>
              </w:rPr>
              <w:t>2017</w:t>
            </w:r>
          </w:p>
        </w:tc>
        <w:tc>
          <w:tcPr>
            <w:tcW w:w="1080" w:type="dxa"/>
            <w:tcBorders>
              <w:top w:val="single" w:sz="4" w:space="0" w:color="auto"/>
              <w:left w:val="single" w:sz="4" w:space="0" w:color="auto"/>
              <w:bottom w:val="single" w:sz="4" w:space="0" w:color="auto"/>
              <w:right w:val="single" w:sz="4" w:space="0" w:color="auto"/>
            </w:tcBorders>
            <w:vAlign w:val="bottom"/>
          </w:tcPr>
          <w:p w:rsidR="00D40888" w:rsidRPr="00E337AB" w:rsidRDefault="00D40888" w:rsidP="004B1E21">
            <w:pPr>
              <w:spacing w:before="60" w:after="60"/>
              <w:jc w:val="center"/>
              <w:rPr>
                <w:rFonts w:ascii="Arial Narrow" w:hAnsi="Arial Narrow"/>
                <w:b/>
                <w:bCs/>
                <w:sz w:val="16"/>
                <w:lang w:val="en-GB"/>
              </w:rPr>
            </w:pPr>
            <w:r>
              <w:rPr>
                <w:rFonts w:ascii="Arial Narrow" w:hAnsi="Arial Narrow"/>
                <w:b/>
                <w:bCs/>
                <w:sz w:val="16"/>
              </w:rPr>
              <w:t>2018</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40888" w:rsidRPr="00D40888" w:rsidRDefault="00D40888" w:rsidP="004B1E21">
            <w:pPr>
              <w:spacing w:before="60" w:after="60"/>
              <w:jc w:val="center"/>
              <w:rPr>
                <w:rFonts w:ascii="Arial Narrow" w:hAnsi="Arial Narrow"/>
                <w:b/>
                <w:bCs/>
                <w:sz w:val="16"/>
              </w:rPr>
            </w:pPr>
            <w:r>
              <w:rPr>
                <w:rFonts w:ascii="Arial Narrow" w:hAnsi="Arial Narrow"/>
                <w:b/>
                <w:bCs/>
                <w:sz w:val="16"/>
                <w:lang w:val="en-GB"/>
              </w:rPr>
              <w:t>2019*</w:t>
            </w:r>
          </w:p>
        </w:tc>
        <w:tc>
          <w:tcPr>
            <w:tcW w:w="868" w:type="dxa"/>
            <w:tcBorders>
              <w:top w:val="single" w:sz="4" w:space="0" w:color="auto"/>
              <w:left w:val="single" w:sz="4" w:space="0" w:color="auto"/>
              <w:bottom w:val="single" w:sz="4" w:space="0" w:color="auto"/>
              <w:right w:val="single" w:sz="4" w:space="0" w:color="auto"/>
            </w:tcBorders>
            <w:vAlign w:val="bottom"/>
          </w:tcPr>
          <w:p w:rsidR="00D40888" w:rsidRPr="00D40888" w:rsidRDefault="00D40888" w:rsidP="004B1E21">
            <w:pPr>
              <w:spacing w:before="60" w:after="60"/>
              <w:jc w:val="center"/>
              <w:rPr>
                <w:rFonts w:ascii="Arial Narrow" w:hAnsi="Arial Narrow"/>
                <w:b/>
                <w:bCs/>
                <w:sz w:val="16"/>
              </w:rPr>
            </w:pPr>
            <w:r>
              <w:rPr>
                <w:rFonts w:ascii="Arial Narrow" w:hAnsi="Arial Narrow"/>
                <w:b/>
                <w:bCs/>
                <w:sz w:val="16"/>
              </w:rPr>
              <w:t>2020**</w:t>
            </w:r>
          </w:p>
        </w:tc>
      </w:tr>
      <w:tr w:rsidR="00D40888" w:rsidRPr="0015043C" w:rsidTr="004B1E21">
        <w:trPr>
          <w:trHeight w:val="170"/>
          <w:jc w:val="center"/>
        </w:trPr>
        <w:tc>
          <w:tcPr>
            <w:tcW w:w="2885" w:type="dxa"/>
            <w:tcBorders>
              <w:left w:val="single" w:sz="4" w:space="0" w:color="auto"/>
            </w:tcBorders>
            <w:noWrap/>
            <w:tcMar>
              <w:top w:w="15" w:type="dxa"/>
              <w:left w:w="15" w:type="dxa"/>
              <w:bottom w:w="0" w:type="dxa"/>
              <w:right w:w="15" w:type="dxa"/>
            </w:tcMar>
            <w:vAlign w:val="bottom"/>
          </w:tcPr>
          <w:p w:rsidR="00D40888" w:rsidRPr="00E337AB" w:rsidRDefault="00D40888" w:rsidP="004B1E21">
            <w:pPr>
              <w:spacing w:before="40" w:after="40"/>
              <w:jc w:val="both"/>
              <w:rPr>
                <w:rFonts w:ascii="Arial Narrow" w:hAnsi="Arial Narrow"/>
                <w:bCs/>
                <w:sz w:val="16"/>
                <w:lang w:val="en-GB"/>
              </w:rPr>
            </w:pPr>
            <w:r>
              <w:rPr>
                <w:rFonts w:ascii="Arial Narrow" w:hAnsi="Arial Narrow"/>
                <w:bCs/>
                <w:sz w:val="16"/>
              </w:rPr>
              <w:t xml:space="preserve">Τόκοι προ </w:t>
            </w:r>
            <w:r>
              <w:rPr>
                <w:rFonts w:ascii="Arial Narrow" w:hAnsi="Arial Narrow"/>
                <w:bCs/>
                <w:sz w:val="16"/>
                <w:lang w:val="en-GB"/>
              </w:rPr>
              <w:t>Swap</w:t>
            </w:r>
          </w:p>
        </w:tc>
        <w:tc>
          <w:tcPr>
            <w:tcW w:w="1152" w:type="dxa"/>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5.306</w:t>
            </w:r>
          </w:p>
        </w:tc>
        <w:tc>
          <w:tcPr>
            <w:tcW w:w="1080" w:type="dxa"/>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5.077</w:t>
            </w:r>
          </w:p>
        </w:tc>
        <w:tc>
          <w:tcPr>
            <w:tcW w:w="1080" w:type="dxa"/>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5.693</w:t>
            </w:r>
          </w:p>
        </w:tc>
        <w:tc>
          <w:tcPr>
            <w:tcW w:w="1080" w:type="dxa"/>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4.671</w:t>
            </w:r>
          </w:p>
        </w:tc>
        <w:tc>
          <w:tcPr>
            <w:tcW w:w="1080" w:type="dxa"/>
            <w:noWrap/>
            <w:tcMar>
              <w:top w:w="15" w:type="dxa"/>
              <w:left w:w="15" w:type="dxa"/>
              <w:bottom w:w="0" w:type="dxa"/>
              <w:right w:w="15" w:type="dxa"/>
            </w:tcMar>
            <w:vAlign w:val="center"/>
          </w:tcPr>
          <w:p w:rsidR="00D40888" w:rsidRDefault="00D40888" w:rsidP="00D40888">
            <w:pPr>
              <w:jc w:val="center"/>
              <w:rPr>
                <w:rFonts w:ascii="Arial Narrow" w:hAnsi="Arial Narrow" w:cs="Arial"/>
                <w:sz w:val="16"/>
                <w:szCs w:val="16"/>
              </w:rPr>
            </w:pPr>
            <w:r>
              <w:rPr>
                <w:rFonts w:ascii="Arial Narrow" w:hAnsi="Arial Narrow" w:cs="Arial"/>
                <w:sz w:val="16"/>
                <w:szCs w:val="16"/>
              </w:rPr>
              <w:t>5.250</w:t>
            </w:r>
          </w:p>
        </w:tc>
        <w:tc>
          <w:tcPr>
            <w:tcW w:w="868" w:type="dxa"/>
            <w:tcBorders>
              <w:right w:val="single" w:sz="4" w:space="0" w:color="auto"/>
            </w:tcBorders>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4.500</w:t>
            </w:r>
          </w:p>
        </w:tc>
      </w:tr>
      <w:tr w:rsidR="00D40888" w:rsidRPr="0015043C" w:rsidTr="004B1E21">
        <w:trPr>
          <w:trHeight w:val="170"/>
          <w:jc w:val="center"/>
        </w:trPr>
        <w:tc>
          <w:tcPr>
            <w:tcW w:w="2885" w:type="dxa"/>
            <w:tcBorders>
              <w:left w:val="single" w:sz="4" w:space="0" w:color="auto"/>
            </w:tcBorders>
            <w:noWrap/>
            <w:tcMar>
              <w:top w:w="15" w:type="dxa"/>
              <w:left w:w="15" w:type="dxa"/>
              <w:bottom w:w="0" w:type="dxa"/>
              <w:right w:w="15" w:type="dxa"/>
            </w:tcMar>
            <w:vAlign w:val="bottom"/>
          </w:tcPr>
          <w:p w:rsidR="00D40888" w:rsidRPr="00E337AB" w:rsidRDefault="00D40888" w:rsidP="004B1E21">
            <w:pPr>
              <w:spacing w:before="40" w:after="40"/>
              <w:jc w:val="both"/>
              <w:rPr>
                <w:rFonts w:ascii="Arial Narrow" w:hAnsi="Arial Narrow"/>
                <w:bCs/>
                <w:sz w:val="16"/>
                <w:lang w:val="en-GB"/>
              </w:rPr>
            </w:pPr>
            <w:r>
              <w:rPr>
                <w:rFonts w:ascii="Arial Narrow" w:hAnsi="Arial Narrow"/>
                <w:bCs/>
                <w:sz w:val="16"/>
              </w:rPr>
              <w:t xml:space="preserve">Τόκοι μετά </w:t>
            </w:r>
            <w:r>
              <w:rPr>
                <w:rFonts w:ascii="Arial Narrow" w:hAnsi="Arial Narrow"/>
                <w:bCs/>
                <w:sz w:val="16"/>
                <w:lang w:val="en-GB"/>
              </w:rPr>
              <w:t>Swap</w:t>
            </w:r>
          </w:p>
        </w:tc>
        <w:tc>
          <w:tcPr>
            <w:tcW w:w="1152" w:type="dxa"/>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5.800</w:t>
            </w:r>
          </w:p>
        </w:tc>
        <w:tc>
          <w:tcPr>
            <w:tcW w:w="1080" w:type="dxa"/>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5.588</w:t>
            </w:r>
          </w:p>
        </w:tc>
        <w:tc>
          <w:tcPr>
            <w:tcW w:w="1080" w:type="dxa"/>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6.208</w:t>
            </w:r>
          </w:p>
        </w:tc>
        <w:tc>
          <w:tcPr>
            <w:tcW w:w="1080" w:type="dxa"/>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5.554</w:t>
            </w:r>
          </w:p>
        </w:tc>
        <w:tc>
          <w:tcPr>
            <w:tcW w:w="1080" w:type="dxa"/>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6.060</w:t>
            </w:r>
          </w:p>
        </w:tc>
        <w:tc>
          <w:tcPr>
            <w:tcW w:w="868" w:type="dxa"/>
            <w:tcBorders>
              <w:right w:val="single" w:sz="4" w:space="0" w:color="auto"/>
            </w:tcBorders>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6.150</w:t>
            </w:r>
          </w:p>
        </w:tc>
      </w:tr>
      <w:tr w:rsidR="00D40888" w:rsidRPr="0015043C" w:rsidTr="004B1E21">
        <w:trPr>
          <w:trHeight w:val="170"/>
          <w:jc w:val="center"/>
        </w:trPr>
        <w:tc>
          <w:tcPr>
            <w:tcW w:w="2885" w:type="dxa"/>
            <w:tcBorders>
              <w:left w:val="single" w:sz="4" w:space="0" w:color="auto"/>
              <w:bottom w:val="single" w:sz="4" w:space="0" w:color="auto"/>
            </w:tcBorders>
            <w:noWrap/>
            <w:tcMar>
              <w:top w:w="15" w:type="dxa"/>
              <w:left w:w="15" w:type="dxa"/>
              <w:bottom w:w="0" w:type="dxa"/>
              <w:right w:w="15" w:type="dxa"/>
            </w:tcMar>
            <w:vAlign w:val="bottom"/>
          </w:tcPr>
          <w:p w:rsidR="00D40888" w:rsidRPr="00286FEA" w:rsidRDefault="00D40888" w:rsidP="004B1E21">
            <w:pPr>
              <w:spacing w:before="40" w:after="40"/>
              <w:jc w:val="both"/>
              <w:rPr>
                <w:rFonts w:ascii="Arial Narrow" w:hAnsi="Arial Narrow"/>
                <w:sz w:val="16"/>
              </w:rPr>
            </w:pPr>
            <w:r>
              <w:rPr>
                <w:rFonts w:ascii="Arial Narrow" w:hAnsi="Arial Narrow"/>
                <w:bCs/>
                <w:sz w:val="16"/>
              </w:rPr>
              <w:t xml:space="preserve">Τόκοι μετά </w:t>
            </w:r>
            <w:r>
              <w:rPr>
                <w:rFonts w:ascii="Arial Narrow" w:hAnsi="Arial Narrow"/>
                <w:bCs/>
                <w:sz w:val="16"/>
                <w:lang w:val="en-GB"/>
              </w:rPr>
              <w:t>Swap</w:t>
            </w:r>
            <w:r>
              <w:rPr>
                <w:rFonts w:ascii="Arial Narrow" w:hAnsi="Arial Narrow"/>
                <w:sz w:val="16"/>
              </w:rPr>
              <w:t xml:space="preserve"> </w:t>
            </w:r>
            <w:r w:rsidRPr="00E337AB">
              <w:rPr>
                <w:rFonts w:ascii="Arial Narrow" w:hAnsi="Arial Narrow"/>
                <w:sz w:val="16"/>
              </w:rPr>
              <w:t xml:space="preserve"> </w:t>
            </w:r>
            <w:r>
              <w:rPr>
                <w:rFonts w:ascii="Arial Narrow" w:hAnsi="Arial Narrow"/>
                <w:sz w:val="16"/>
              </w:rPr>
              <w:t>ως % του ΑΕΠ</w:t>
            </w:r>
          </w:p>
        </w:tc>
        <w:tc>
          <w:tcPr>
            <w:tcW w:w="1152" w:type="dxa"/>
            <w:tcBorders>
              <w:bottom w:val="single" w:sz="4" w:space="0" w:color="auto"/>
            </w:tcBorders>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3,3%</w:t>
            </w:r>
          </w:p>
        </w:tc>
        <w:tc>
          <w:tcPr>
            <w:tcW w:w="1080" w:type="dxa"/>
            <w:tcBorders>
              <w:bottom w:val="single" w:sz="4" w:space="0" w:color="auto"/>
            </w:tcBorders>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3,2%</w:t>
            </w:r>
          </w:p>
        </w:tc>
        <w:tc>
          <w:tcPr>
            <w:tcW w:w="1080" w:type="dxa"/>
            <w:tcBorders>
              <w:bottom w:val="single" w:sz="4" w:space="0" w:color="auto"/>
            </w:tcBorders>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3,4%</w:t>
            </w:r>
          </w:p>
        </w:tc>
        <w:tc>
          <w:tcPr>
            <w:tcW w:w="1080" w:type="dxa"/>
            <w:tcBorders>
              <w:bottom w:val="single" w:sz="4" w:space="0" w:color="auto"/>
            </w:tcBorders>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3,0%</w:t>
            </w:r>
          </w:p>
        </w:tc>
        <w:tc>
          <w:tcPr>
            <w:tcW w:w="1080" w:type="dxa"/>
            <w:tcBorders>
              <w:bottom w:val="single" w:sz="4" w:space="0" w:color="auto"/>
            </w:tcBorders>
            <w:noWrap/>
            <w:tcMar>
              <w:top w:w="15" w:type="dxa"/>
              <w:left w:w="15" w:type="dxa"/>
              <w:bottom w:w="0" w:type="dxa"/>
              <w:right w:w="15" w:type="dxa"/>
            </w:tcMar>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3,2%</w:t>
            </w:r>
          </w:p>
        </w:tc>
        <w:tc>
          <w:tcPr>
            <w:tcW w:w="868" w:type="dxa"/>
            <w:tcBorders>
              <w:bottom w:val="single" w:sz="4" w:space="0" w:color="auto"/>
              <w:right w:val="single" w:sz="4" w:space="0" w:color="auto"/>
            </w:tcBorders>
            <w:vAlign w:val="center"/>
          </w:tcPr>
          <w:p w:rsidR="00D40888" w:rsidRDefault="00D40888" w:rsidP="004B1E21">
            <w:pPr>
              <w:jc w:val="center"/>
              <w:rPr>
                <w:rFonts w:ascii="Arial Narrow" w:hAnsi="Arial Narrow" w:cs="Arial"/>
                <w:sz w:val="16"/>
                <w:szCs w:val="16"/>
              </w:rPr>
            </w:pPr>
            <w:r>
              <w:rPr>
                <w:rFonts w:ascii="Arial Narrow" w:hAnsi="Arial Narrow" w:cs="Arial"/>
                <w:sz w:val="16"/>
                <w:szCs w:val="16"/>
              </w:rPr>
              <w:t>3,1%</w:t>
            </w:r>
          </w:p>
        </w:tc>
      </w:tr>
    </w:tbl>
    <w:p w:rsidR="00D40888" w:rsidRPr="0015043C" w:rsidRDefault="00D40888" w:rsidP="00D40888">
      <w:pPr>
        <w:tabs>
          <w:tab w:val="left" w:pos="1660"/>
          <w:tab w:val="left" w:pos="2740"/>
          <w:tab w:val="left" w:pos="3820"/>
          <w:tab w:val="left" w:pos="4900"/>
          <w:tab w:val="left" w:pos="5980"/>
          <w:tab w:val="left" w:pos="7060"/>
        </w:tabs>
        <w:rPr>
          <w:rFonts w:ascii="Arial Narrow" w:hAnsi="Arial Narrow"/>
          <w:sz w:val="16"/>
          <w:szCs w:val="16"/>
        </w:rPr>
      </w:pPr>
      <w:r w:rsidRPr="0015043C">
        <w:rPr>
          <w:rFonts w:ascii="Arial Narrow" w:hAnsi="Arial Narrow"/>
          <w:sz w:val="16"/>
          <w:szCs w:val="16"/>
        </w:rPr>
        <w:t xml:space="preserve"> *  Εκτιμήσεις     **  Προβλέψεις</w:t>
      </w:r>
    </w:p>
    <w:p w:rsidR="00D40888" w:rsidRDefault="00D40888" w:rsidP="00D40888">
      <w:pPr>
        <w:tabs>
          <w:tab w:val="left" w:pos="180"/>
        </w:tabs>
        <w:jc w:val="both"/>
        <w:rPr>
          <w:rFonts w:ascii="Arial Narrow" w:hAnsi="Arial Narrow"/>
          <w:sz w:val="16"/>
          <w:szCs w:val="16"/>
        </w:rPr>
      </w:pPr>
      <w:bookmarkStart w:id="0" w:name="OLE_LINK1"/>
      <w:bookmarkStart w:id="1" w:name="OLE_LINK2"/>
      <w:r w:rsidRPr="0015043C">
        <w:rPr>
          <w:rFonts w:ascii="Arial Narrow" w:hAnsi="Arial Narrow"/>
          <w:sz w:val="16"/>
          <w:szCs w:val="16"/>
        </w:rPr>
        <w:t xml:space="preserve">Πηγή:  </w:t>
      </w:r>
      <w:r>
        <w:rPr>
          <w:rFonts w:ascii="Arial Narrow" w:hAnsi="Arial Narrow"/>
          <w:sz w:val="16"/>
          <w:szCs w:val="16"/>
        </w:rPr>
        <w:t>ΟΔΔΗΧ</w:t>
      </w:r>
    </w:p>
    <w:bookmarkEnd w:id="0"/>
    <w:bookmarkEnd w:id="1"/>
    <w:p w:rsidR="00D40888" w:rsidRDefault="00D40888" w:rsidP="00D40888">
      <w:pPr>
        <w:tabs>
          <w:tab w:val="left" w:pos="180"/>
        </w:tabs>
        <w:jc w:val="both"/>
        <w:rPr>
          <w:sz w:val="16"/>
          <w:szCs w:val="16"/>
        </w:rPr>
      </w:pPr>
    </w:p>
    <w:tbl>
      <w:tblPr>
        <w:tblW w:w="9288" w:type="dxa"/>
        <w:tblBorders>
          <w:insideV w:val="single" w:sz="4" w:space="0" w:color="auto"/>
        </w:tblBorders>
        <w:tblLook w:val="00A0"/>
      </w:tblPr>
      <w:tblGrid>
        <w:gridCol w:w="9288"/>
      </w:tblGrid>
      <w:tr w:rsidR="00A37F25" w:rsidRPr="0015043C" w:rsidTr="004B1E21">
        <w:trPr>
          <w:trHeight w:val="476"/>
        </w:trPr>
        <w:tc>
          <w:tcPr>
            <w:tcW w:w="9288" w:type="dxa"/>
            <w:shd w:val="clear" w:color="auto" w:fill="404040" w:themeFill="text1" w:themeFillTint="BF"/>
          </w:tcPr>
          <w:p w:rsidR="00A37F25" w:rsidRPr="0015043C" w:rsidRDefault="00A37F25" w:rsidP="004B1E21">
            <w:pPr>
              <w:spacing w:before="120"/>
              <w:jc w:val="center"/>
              <w:rPr>
                <w:rFonts w:ascii="Arial Narrow" w:hAnsi="Arial Narrow"/>
                <w:b/>
                <w:color w:val="FFFFFF"/>
              </w:rPr>
            </w:pPr>
            <w:r w:rsidRPr="0015043C">
              <w:rPr>
                <w:rFonts w:ascii="Arial Narrow" w:hAnsi="Arial Narrow"/>
                <w:b/>
                <w:color w:val="FFFFFF"/>
              </w:rPr>
              <w:t xml:space="preserve">Διάγραμμα </w:t>
            </w:r>
            <w:r>
              <w:rPr>
                <w:rFonts w:ascii="Arial Narrow" w:hAnsi="Arial Narrow"/>
                <w:b/>
                <w:color w:val="FFFFFF"/>
              </w:rPr>
              <w:t>4.3</w:t>
            </w:r>
            <w:r w:rsidRPr="0015043C">
              <w:rPr>
                <w:rFonts w:ascii="Arial Narrow" w:hAnsi="Arial Narrow"/>
                <w:b/>
                <w:color w:val="FFFFFF"/>
              </w:rPr>
              <w:t xml:space="preserve">  </w:t>
            </w:r>
            <w:r>
              <w:rPr>
                <w:rFonts w:ascii="Arial Narrow" w:hAnsi="Arial Narrow"/>
                <w:b/>
                <w:color w:val="FFFFFF"/>
              </w:rPr>
              <w:t>Δαπάνες για τόκους χρέους Κεντρικής Διοίκησης</w:t>
            </w:r>
          </w:p>
          <w:p w:rsidR="00A37F25" w:rsidRPr="00C5708C" w:rsidRDefault="00A37F25" w:rsidP="004B1E21">
            <w:pPr>
              <w:spacing w:after="120"/>
              <w:jc w:val="center"/>
              <w:rPr>
                <w:sz w:val="22"/>
                <w:szCs w:val="22"/>
              </w:rPr>
            </w:pPr>
            <w:r>
              <w:rPr>
                <w:rFonts w:ascii="Arial Narrow" w:hAnsi="Arial Narrow"/>
                <w:b/>
                <w:color w:val="FFFFFF"/>
              </w:rPr>
              <w:t>(ποσά σε εκατ. ευρώ)</w:t>
            </w:r>
          </w:p>
        </w:tc>
      </w:tr>
      <w:tr w:rsidR="00A37F25" w:rsidRPr="0015043C" w:rsidTr="004B1E21">
        <w:tc>
          <w:tcPr>
            <w:tcW w:w="9288" w:type="dxa"/>
          </w:tcPr>
          <w:p w:rsidR="00A37F25" w:rsidRPr="0015043C" w:rsidRDefault="00E40D5E" w:rsidP="004B1E21">
            <w:pPr>
              <w:jc w:val="center"/>
              <w:rPr>
                <w:sz w:val="22"/>
                <w:szCs w:val="22"/>
              </w:rPr>
            </w:pPr>
            <w:r w:rsidRPr="00E40D5E">
              <w:rPr>
                <w:noProof/>
                <w:sz w:val="22"/>
                <w:szCs w:val="22"/>
              </w:rPr>
              <w:drawing>
                <wp:inline distT="0" distB="0" distL="0" distR="0">
                  <wp:extent cx="5137785" cy="3046095"/>
                  <wp:effectExtent l="0" t="0" r="0" b="0"/>
                  <wp:docPr id="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A37F25" w:rsidRPr="0015043C" w:rsidRDefault="00A37F25" w:rsidP="00A37F25">
      <w:pPr>
        <w:tabs>
          <w:tab w:val="left" w:pos="1660"/>
          <w:tab w:val="left" w:pos="2740"/>
          <w:tab w:val="left" w:pos="3820"/>
          <w:tab w:val="left" w:pos="4900"/>
          <w:tab w:val="left" w:pos="5980"/>
          <w:tab w:val="left" w:pos="7060"/>
        </w:tabs>
        <w:rPr>
          <w:rFonts w:ascii="Arial Narrow" w:hAnsi="Arial Narrow"/>
          <w:sz w:val="16"/>
          <w:szCs w:val="16"/>
        </w:rPr>
      </w:pPr>
      <w:r w:rsidRPr="0015043C">
        <w:rPr>
          <w:rFonts w:ascii="Arial Narrow" w:hAnsi="Arial Narrow"/>
          <w:sz w:val="16"/>
          <w:szCs w:val="16"/>
        </w:rPr>
        <w:t xml:space="preserve"> *  Εκτιμήσεις    **  Προβλέψεις</w:t>
      </w:r>
    </w:p>
    <w:p w:rsidR="00A37F25" w:rsidRPr="0015043C" w:rsidRDefault="00A37F25" w:rsidP="00A37F25">
      <w:pPr>
        <w:jc w:val="both"/>
        <w:rPr>
          <w:szCs w:val="22"/>
        </w:rPr>
      </w:pPr>
      <w:r>
        <w:rPr>
          <w:rFonts w:ascii="Arial Narrow" w:hAnsi="Arial Narrow"/>
          <w:sz w:val="16"/>
          <w:szCs w:val="16"/>
        </w:rPr>
        <w:t>Π</w:t>
      </w:r>
      <w:r w:rsidRPr="0015043C">
        <w:rPr>
          <w:rFonts w:ascii="Arial Narrow" w:hAnsi="Arial Narrow"/>
          <w:sz w:val="16"/>
          <w:szCs w:val="16"/>
        </w:rPr>
        <w:t xml:space="preserve">ηγή:  </w:t>
      </w:r>
      <w:r>
        <w:rPr>
          <w:rFonts w:ascii="Arial Narrow" w:hAnsi="Arial Narrow"/>
          <w:sz w:val="16"/>
          <w:szCs w:val="16"/>
        </w:rPr>
        <w:t>ΟΔΔΗΧ</w:t>
      </w:r>
    </w:p>
    <w:p w:rsidR="00D26784" w:rsidRDefault="00D26784">
      <w:pPr>
        <w:rPr>
          <w:rFonts w:ascii="Arial Narrow" w:hAnsi="Arial Narrow"/>
          <w:b/>
          <w:color w:val="FFFFFF"/>
          <w:sz w:val="26"/>
          <w:szCs w:val="26"/>
        </w:rPr>
      </w:pPr>
    </w:p>
    <w:p w:rsidR="00DB5414" w:rsidRDefault="00DB5414" w:rsidP="00DB5414">
      <w:pPr>
        <w:tabs>
          <w:tab w:val="left" w:pos="180"/>
        </w:tabs>
        <w:jc w:val="both"/>
        <w:rPr>
          <w:sz w:val="16"/>
          <w:szCs w:val="16"/>
        </w:rPr>
      </w:pPr>
    </w:p>
    <w:p w:rsidR="00DB5414" w:rsidRPr="009C2F54" w:rsidRDefault="00550B4B" w:rsidP="00DB5414">
      <w:pPr>
        <w:shd w:val="clear" w:color="auto" w:fill="595959" w:themeFill="text1" w:themeFillTint="A6"/>
        <w:jc w:val="both"/>
        <w:rPr>
          <w:rFonts w:ascii="Arial Narrow" w:hAnsi="Arial Narrow"/>
          <w:b/>
          <w:bCs/>
          <w:color w:val="FFFFFF"/>
          <w:sz w:val="26"/>
          <w:szCs w:val="22"/>
        </w:rPr>
      </w:pPr>
      <w:r>
        <w:rPr>
          <w:rFonts w:ascii="Arial Narrow" w:hAnsi="Arial Narrow"/>
          <w:b/>
          <w:bCs/>
          <w:color w:val="FFFFFF"/>
          <w:sz w:val="26"/>
          <w:szCs w:val="22"/>
        </w:rPr>
        <w:t>4</w:t>
      </w:r>
      <w:r w:rsidR="00DB5414" w:rsidRPr="009C2F54">
        <w:rPr>
          <w:rFonts w:ascii="Arial Narrow" w:hAnsi="Arial Narrow"/>
          <w:b/>
          <w:bCs/>
          <w:color w:val="FFFFFF"/>
          <w:sz w:val="26"/>
          <w:szCs w:val="22"/>
        </w:rPr>
        <w:t>.</w:t>
      </w:r>
      <w:r w:rsidR="00DB5414" w:rsidRPr="009C2F54">
        <w:rPr>
          <w:rFonts w:ascii="Arial Narrow" w:hAnsi="Arial Narrow"/>
          <w:b/>
          <w:bCs/>
          <w:color w:val="FFFFFF"/>
          <w:sz w:val="26"/>
          <w:szCs w:val="22"/>
        </w:rPr>
        <w:tab/>
      </w:r>
      <w:r w:rsidR="00DB5414">
        <w:rPr>
          <w:rFonts w:ascii="Arial Narrow" w:hAnsi="Arial Narrow"/>
          <w:b/>
          <w:bCs/>
          <w:color w:val="FFFFFF"/>
          <w:sz w:val="26"/>
          <w:szCs w:val="22"/>
        </w:rPr>
        <w:t>Η ενοποιημένη αγορά ευρωομολόγων</w:t>
      </w:r>
    </w:p>
    <w:p w:rsidR="00DB5414" w:rsidRPr="006E6670" w:rsidRDefault="00DB5414" w:rsidP="00DB5414">
      <w:pPr>
        <w:tabs>
          <w:tab w:val="left" w:pos="180"/>
        </w:tabs>
        <w:jc w:val="both"/>
        <w:rPr>
          <w:sz w:val="22"/>
          <w:szCs w:val="22"/>
        </w:rPr>
      </w:pPr>
    </w:p>
    <w:p w:rsidR="00DB5414" w:rsidRPr="00492CB8" w:rsidRDefault="00DB5414" w:rsidP="00DB5414">
      <w:pPr>
        <w:jc w:val="both"/>
        <w:rPr>
          <w:bCs/>
          <w:sz w:val="22"/>
          <w:szCs w:val="22"/>
        </w:rPr>
      </w:pPr>
      <w:r w:rsidRPr="00E05E94">
        <w:rPr>
          <w:bCs/>
          <w:sz w:val="22"/>
          <w:szCs w:val="22"/>
        </w:rPr>
        <w:t>Στα τέλη Δεκεμβρίου του 2018 ολοκληρώθηκε τ</w:t>
      </w:r>
      <w:r w:rsidRPr="00E05E94">
        <w:rPr>
          <w:bCs/>
          <w:sz w:val="22"/>
          <w:szCs w:val="22"/>
          <w:lang w:val="en-US"/>
        </w:rPr>
        <w:t>o</w:t>
      </w:r>
      <w:r w:rsidRPr="00E05E94">
        <w:rPr>
          <w:bCs/>
          <w:sz w:val="22"/>
          <w:szCs w:val="22"/>
        </w:rPr>
        <w:t xml:space="preserve"> </w:t>
      </w:r>
      <w:r w:rsidR="00934CDC">
        <w:rPr>
          <w:bCs/>
          <w:sz w:val="22"/>
          <w:szCs w:val="22"/>
        </w:rPr>
        <w:t>πρόγραμμα ποσοτικής χαλάρωσης («</w:t>
      </w:r>
      <w:r w:rsidRPr="00E05E94">
        <w:rPr>
          <w:bCs/>
          <w:sz w:val="22"/>
          <w:szCs w:val="22"/>
          <w:lang w:val="en-US"/>
        </w:rPr>
        <w:t>quantitative</w:t>
      </w:r>
      <w:r w:rsidRPr="00E05E94">
        <w:rPr>
          <w:bCs/>
          <w:sz w:val="22"/>
          <w:szCs w:val="22"/>
        </w:rPr>
        <w:t xml:space="preserve"> </w:t>
      </w:r>
      <w:r w:rsidRPr="00E05E94">
        <w:rPr>
          <w:bCs/>
          <w:sz w:val="22"/>
          <w:szCs w:val="22"/>
          <w:lang w:val="en-US"/>
        </w:rPr>
        <w:t>easing</w:t>
      </w:r>
      <w:r w:rsidRPr="00E05E94">
        <w:rPr>
          <w:bCs/>
          <w:sz w:val="22"/>
          <w:szCs w:val="22"/>
        </w:rPr>
        <w:t xml:space="preserve"> </w:t>
      </w:r>
      <w:r w:rsidR="00934CDC">
        <w:rPr>
          <w:bCs/>
          <w:sz w:val="22"/>
          <w:szCs w:val="22"/>
        </w:rPr>
        <w:t>–</w:t>
      </w:r>
      <w:r w:rsidRPr="00E05E94">
        <w:rPr>
          <w:bCs/>
          <w:sz w:val="22"/>
          <w:szCs w:val="22"/>
        </w:rPr>
        <w:t xml:space="preserve"> </w:t>
      </w:r>
      <w:r w:rsidRPr="00E05E94">
        <w:rPr>
          <w:bCs/>
          <w:sz w:val="22"/>
          <w:szCs w:val="22"/>
          <w:lang w:val="en-US"/>
        </w:rPr>
        <w:t>QE</w:t>
      </w:r>
      <w:r w:rsidR="00934CDC">
        <w:rPr>
          <w:bCs/>
          <w:sz w:val="22"/>
          <w:szCs w:val="22"/>
        </w:rPr>
        <w:t>»</w:t>
      </w:r>
      <w:r w:rsidRPr="00E05E94">
        <w:rPr>
          <w:bCs/>
          <w:sz w:val="22"/>
          <w:szCs w:val="22"/>
        </w:rPr>
        <w:t xml:space="preserve">) της Ευρωπαϊκής Κεντρικής Τράπεζας με τις συνολικές αγορές κρατικών χρεογράφων από την έναρξη του προγράμματος, το Μάρτιο του 2015, να ξεπερνούν τα 2,5 τρισ. ευρώ. Στα μέσα Σεπτεμβρίου του 2019 η ΕΚΤ ανακοίνωσε την επανεκκίνηση του </w:t>
      </w:r>
      <w:r w:rsidRPr="00E05E94">
        <w:rPr>
          <w:bCs/>
          <w:sz w:val="22"/>
          <w:szCs w:val="22"/>
          <w:lang w:val="en-US"/>
        </w:rPr>
        <w:t>QE</w:t>
      </w:r>
      <w:r w:rsidRPr="00E05E94">
        <w:rPr>
          <w:bCs/>
          <w:sz w:val="22"/>
          <w:szCs w:val="22"/>
        </w:rPr>
        <w:t xml:space="preserve"> από την 1</w:t>
      </w:r>
      <w:r w:rsidRPr="00E05E94">
        <w:rPr>
          <w:bCs/>
          <w:sz w:val="22"/>
          <w:szCs w:val="22"/>
          <w:vertAlign w:val="superscript"/>
        </w:rPr>
        <w:t>η</w:t>
      </w:r>
      <w:r w:rsidRPr="00E05E94">
        <w:rPr>
          <w:bCs/>
          <w:sz w:val="22"/>
          <w:szCs w:val="22"/>
        </w:rPr>
        <w:t xml:space="preserve"> Νοεμβρίου 2019 με μηνιαίες αγορές ομολόγων ύψους 20 δισ. ευρώ για όσο διάστημα απαιτηθεί. Κατά τη διάρκεια του 2019 οι αποδόσεις των κρατικών τίτλων των περισσοτέρων χωρών της Ευρωζώνης ξεπέρασαν εκ νέου </w:t>
      </w:r>
      <w:r w:rsidRPr="00E05E94">
        <w:rPr>
          <w:bCs/>
          <w:sz w:val="22"/>
          <w:szCs w:val="22"/>
        </w:rPr>
        <w:lastRenderedPageBreak/>
        <w:t>τα ιστορικά χαμηλά τους επίπεδα σε όλες τις διάρκειες, με τις τρέχουσες αποδόσεις τους να διαμο</w:t>
      </w:r>
      <w:r w:rsidRPr="00E05E94">
        <w:rPr>
          <w:bCs/>
          <w:sz w:val="22"/>
          <w:szCs w:val="22"/>
        </w:rPr>
        <w:t>ρ</w:t>
      </w:r>
      <w:r w:rsidRPr="00E05E94">
        <w:rPr>
          <w:bCs/>
          <w:sz w:val="22"/>
          <w:szCs w:val="22"/>
        </w:rPr>
        <w:t>φώνονται κάτω του 0% ακόμα και για τίτλους μακροπρόθεσμης διάρκειας.</w:t>
      </w:r>
    </w:p>
    <w:p w:rsidR="00DB5414" w:rsidRPr="006E6670" w:rsidRDefault="00DB5414" w:rsidP="00DB5414">
      <w:pPr>
        <w:jc w:val="both"/>
        <w:rPr>
          <w:sz w:val="22"/>
          <w:szCs w:val="22"/>
        </w:rPr>
      </w:pPr>
    </w:p>
    <w:p w:rsidR="00DB5414" w:rsidRPr="009C2F54" w:rsidRDefault="00550B4B" w:rsidP="00DB5414">
      <w:pPr>
        <w:shd w:val="clear" w:color="auto" w:fill="595959" w:themeFill="text1" w:themeFillTint="A6"/>
        <w:jc w:val="both"/>
        <w:rPr>
          <w:rFonts w:ascii="Arial Narrow" w:hAnsi="Arial Narrow"/>
          <w:b/>
          <w:bCs/>
          <w:color w:val="FFFFFF"/>
          <w:sz w:val="26"/>
          <w:szCs w:val="22"/>
        </w:rPr>
      </w:pPr>
      <w:r>
        <w:rPr>
          <w:rFonts w:ascii="Arial Narrow" w:hAnsi="Arial Narrow"/>
          <w:b/>
          <w:bCs/>
          <w:color w:val="FFFFFF"/>
          <w:sz w:val="26"/>
          <w:szCs w:val="22"/>
        </w:rPr>
        <w:t>5</w:t>
      </w:r>
      <w:r w:rsidR="00DB5414" w:rsidRPr="009C2F54">
        <w:rPr>
          <w:rFonts w:ascii="Arial Narrow" w:hAnsi="Arial Narrow"/>
          <w:b/>
          <w:bCs/>
          <w:color w:val="FFFFFF"/>
          <w:sz w:val="26"/>
          <w:szCs w:val="22"/>
        </w:rPr>
        <w:t>.</w:t>
      </w:r>
      <w:r w:rsidR="00DB5414" w:rsidRPr="009C2F54">
        <w:rPr>
          <w:rFonts w:ascii="Arial Narrow" w:hAnsi="Arial Narrow"/>
          <w:b/>
          <w:bCs/>
          <w:color w:val="FFFFFF"/>
          <w:sz w:val="26"/>
          <w:szCs w:val="22"/>
        </w:rPr>
        <w:tab/>
      </w:r>
      <w:r w:rsidR="00DB5414">
        <w:rPr>
          <w:rFonts w:ascii="Arial Narrow" w:hAnsi="Arial Narrow"/>
          <w:b/>
          <w:bCs/>
          <w:color w:val="FFFFFF"/>
          <w:sz w:val="26"/>
          <w:szCs w:val="22"/>
        </w:rPr>
        <w:t xml:space="preserve">Αγορά </w:t>
      </w:r>
      <w:r w:rsidR="00DB5414" w:rsidRPr="009C2F54">
        <w:rPr>
          <w:rFonts w:ascii="Arial Narrow" w:hAnsi="Arial Narrow"/>
          <w:b/>
          <w:bCs/>
          <w:color w:val="FFFFFF"/>
          <w:sz w:val="26"/>
          <w:szCs w:val="22"/>
        </w:rPr>
        <w:t>τίτλων του Ελληνικού Δημοσίου</w:t>
      </w:r>
    </w:p>
    <w:p w:rsidR="00DB5414" w:rsidRDefault="00DB5414" w:rsidP="00DB5414">
      <w:pPr>
        <w:jc w:val="both"/>
        <w:rPr>
          <w:sz w:val="20"/>
          <w:szCs w:val="22"/>
        </w:rPr>
      </w:pPr>
    </w:p>
    <w:p w:rsidR="00DB5414" w:rsidRPr="00C86E0B" w:rsidRDefault="00DB5414" w:rsidP="004F5621">
      <w:pPr>
        <w:pStyle w:val="a9"/>
        <w:tabs>
          <w:tab w:val="left" w:pos="9355"/>
        </w:tabs>
        <w:jc w:val="both"/>
        <w:rPr>
          <w:bCs/>
          <w:sz w:val="22"/>
          <w:szCs w:val="22"/>
        </w:rPr>
      </w:pPr>
      <w:r w:rsidRPr="00C86E0B">
        <w:rPr>
          <w:bCs/>
          <w:sz w:val="22"/>
          <w:szCs w:val="22"/>
        </w:rPr>
        <w:t xml:space="preserve">Το βραχυχρόνιο κόστος δανεισμού του Ελληνικού Δημοσίου, όπως αποτυπώνεται στις δημοπρασίες εντόκων γραμματίων 13, 26 και 52 εβδομάδων, κινείται σε ιστορικά χαμηλά επίπεδα. Στις πρόσφατες δημοπρασίες του </w:t>
      </w:r>
      <w:r>
        <w:rPr>
          <w:bCs/>
          <w:sz w:val="22"/>
          <w:szCs w:val="22"/>
        </w:rPr>
        <w:t>Σεπτεμβρίου</w:t>
      </w:r>
      <w:r w:rsidRPr="00C86E0B">
        <w:rPr>
          <w:bCs/>
          <w:sz w:val="22"/>
          <w:szCs w:val="22"/>
        </w:rPr>
        <w:t xml:space="preserve"> και του </w:t>
      </w:r>
      <w:r>
        <w:rPr>
          <w:bCs/>
          <w:sz w:val="22"/>
          <w:szCs w:val="22"/>
        </w:rPr>
        <w:t>Οκτωβρ</w:t>
      </w:r>
      <w:r w:rsidRPr="00C86E0B">
        <w:rPr>
          <w:bCs/>
          <w:sz w:val="22"/>
          <w:szCs w:val="22"/>
        </w:rPr>
        <w:t xml:space="preserve">ίου του 2019 αυτό διαμορφώθηκε στο </w:t>
      </w:r>
      <w:r w:rsidR="00E611C4" w:rsidRPr="00554FE5">
        <w:rPr>
          <w:bCs/>
          <w:sz w:val="22"/>
          <w:szCs w:val="22"/>
        </w:rPr>
        <w:t>0,29</w:t>
      </w:r>
      <w:r w:rsidRPr="002D2280">
        <w:rPr>
          <w:bCs/>
          <w:sz w:val="22"/>
          <w:szCs w:val="22"/>
        </w:rPr>
        <w:t>% για τα ετήσια έντοκα γραμμάτια</w:t>
      </w:r>
      <w:r>
        <w:rPr>
          <w:bCs/>
          <w:sz w:val="22"/>
          <w:szCs w:val="22"/>
        </w:rPr>
        <w:t xml:space="preserve">, </w:t>
      </w:r>
      <w:r w:rsidRPr="00C86E0B">
        <w:rPr>
          <w:bCs/>
          <w:sz w:val="22"/>
          <w:szCs w:val="22"/>
        </w:rPr>
        <w:t>0,10% για τα</w:t>
      </w:r>
      <w:r>
        <w:rPr>
          <w:bCs/>
          <w:sz w:val="22"/>
          <w:szCs w:val="22"/>
        </w:rPr>
        <w:t xml:space="preserve"> εξάμηνα, ενώ είχαμε για πρώτη φορά αρνητικό επιτόκιο στα τρίμηνα -</w:t>
      </w:r>
      <w:r w:rsidRPr="00C86E0B">
        <w:rPr>
          <w:bCs/>
          <w:sz w:val="22"/>
          <w:szCs w:val="22"/>
        </w:rPr>
        <w:t>0,</w:t>
      </w:r>
      <w:r>
        <w:rPr>
          <w:bCs/>
          <w:sz w:val="22"/>
          <w:szCs w:val="22"/>
        </w:rPr>
        <w:t>02</w:t>
      </w:r>
      <w:r w:rsidRPr="00C86E0B">
        <w:rPr>
          <w:bCs/>
          <w:sz w:val="22"/>
          <w:szCs w:val="22"/>
        </w:rPr>
        <w:t>%</w:t>
      </w:r>
      <w:r>
        <w:rPr>
          <w:bCs/>
          <w:sz w:val="22"/>
          <w:szCs w:val="22"/>
        </w:rPr>
        <w:t>,</w:t>
      </w:r>
      <w:r w:rsidRPr="00C86E0B">
        <w:rPr>
          <w:bCs/>
          <w:sz w:val="22"/>
          <w:szCs w:val="22"/>
        </w:rPr>
        <w:t xml:space="preserve"> γεγονός που οφείλεται τόσο στη διεθνή πτωτική πορεία των επιτοκίων</w:t>
      </w:r>
      <w:r w:rsidR="00FB64BA">
        <w:rPr>
          <w:bCs/>
          <w:sz w:val="22"/>
          <w:szCs w:val="22"/>
        </w:rPr>
        <w:t>,</w:t>
      </w:r>
      <w:r w:rsidRPr="00C86E0B">
        <w:rPr>
          <w:bCs/>
          <w:sz w:val="22"/>
          <w:szCs w:val="22"/>
        </w:rPr>
        <w:t xml:space="preserve"> όσο και στην περαιτέρω βελτίωση του σχήματος της ελληνικής καμπύλης αποδόσεων μετά τις πρόσφατες επιτυχ</w:t>
      </w:r>
      <w:r w:rsidRPr="00C86E0B">
        <w:rPr>
          <w:bCs/>
          <w:sz w:val="22"/>
          <w:szCs w:val="22"/>
        </w:rPr>
        <w:t>η</w:t>
      </w:r>
      <w:r w:rsidRPr="00C86E0B">
        <w:rPr>
          <w:bCs/>
          <w:sz w:val="22"/>
          <w:szCs w:val="22"/>
        </w:rPr>
        <w:t xml:space="preserve">μένες εξόδους της χώρας στις </w:t>
      </w:r>
      <w:r>
        <w:rPr>
          <w:bCs/>
          <w:sz w:val="22"/>
          <w:szCs w:val="22"/>
        </w:rPr>
        <w:t>κεφαλαια</w:t>
      </w:r>
      <w:r w:rsidRPr="00C86E0B">
        <w:rPr>
          <w:bCs/>
          <w:sz w:val="22"/>
          <w:szCs w:val="22"/>
        </w:rPr>
        <w:t>γορές.</w:t>
      </w:r>
    </w:p>
    <w:p w:rsidR="00DB5414" w:rsidRPr="00492CB8" w:rsidRDefault="00DB5414" w:rsidP="00DB5414">
      <w:pPr>
        <w:pStyle w:val="a9"/>
        <w:tabs>
          <w:tab w:val="left" w:pos="9355"/>
        </w:tabs>
        <w:jc w:val="both"/>
        <w:rPr>
          <w:bCs/>
          <w:sz w:val="22"/>
          <w:szCs w:val="22"/>
        </w:rPr>
      </w:pPr>
      <w:r w:rsidRPr="00492CB8">
        <w:rPr>
          <w:bCs/>
          <w:sz w:val="22"/>
          <w:szCs w:val="22"/>
        </w:rPr>
        <w:t xml:space="preserve">Η καμπύλη αποδόσεων του Ελληνικού Δημοσίου έχει θετική κλίση (steepening curve) </w:t>
      </w:r>
      <w:r>
        <w:rPr>
          <w:bCs/>
          <w:sz w:val="22"/>
          <w:szCs w:val="22"/>
        </w:rPr>
        <w:t xml:space="preserve">τόσο </w:t>
      </w:r>
      <w:r w:rsidRPr="00492CB8">
        <w:rPr>
          <w:bCs/>
          <w:sz w:val="22"/>
          <w:szCs w:val="22"/>
        </w:rPr>
        <w:t>για</w:t>
      </w:r>
      <w:r>
        <w:rPr>
          <w:bCs/>
          <w:sz w:val="22"/>
          <w:szCs w:val="22"/>
        </w:rPr>
        <w:t xml:space="preserve"> βρ</w:t>
      </w:r>
      <w:r>
        <w:rPr>
          <w:bCs/>
          <w:sz w:val="22"/>
          <w:szCs w:val="22"/>
        </w:rPr>
        <w:t>α</w:t>
      </w:r>
      <w:r>
        <w:rPr>
          <w:bCs/>
          <w:sz w:val="22"/>
          <w:szCs w:val="22"/>
        </w:rPr>
        <w:t xml:space="preserve">χυπρόθεσμες και </w:t>
      </w:r>
      <w:r w:rsidRPr="00492CB8">
        <w:rPr>
          <w:bCs/>
          <w:sz w:val="22"/>
          <w:szCs w:val="22"/>
        </w:rPr>
        <w:t>μεσοπρό</w:t>
      </w:r>
      <w:r>
        <w:rPr>
          <w:bCs/>
          <w:sz w:val="22"/>
          <w:szCs w:val="22"/>
        </w:rPr>
        <w:t>θεσμες διάρκειες, όσο</w:t>
      </w:r>
      <w:r w:rsidRPr="00492CB8">
        <w:rPr>
          <w:bCs/>
          <w:sz w:val="22"/>
          <w:szCs w:val="22"/>
        </w:rPr>
        <w:t xml:space="preserve"> και για μακροπρόθεσμες διάρκειες μέχρι 2</w:t>
      </w:r>
      <w:r>
        <w:rPr>
          <w:bCs/>
          <w:sz w:val="22"/>
          <w:szCs w:val="22"/>
        </w:rPr>
        <w:t>5</w:t>
      </w:r>
      <w:r w:rsidRPr="00492CB8">
        <w:rPr>
          <w:bCs/>
          <w:sz w:val="22"/>
          <w:szCs w:val="22"/>
        </w:rPr>
        <w:t xml:space="preserve"> έτη (δι</w:t>
      </w:r>
      <w:r w:rsidRPr="00492CB8">
        <w:rPr>
          <w:bCs/>
          <w:sz w:val="22"/>
          <w:szCs w:val="22"/>
        </w:rPr>
        <w:t>ά</w:t>
      </w:r>
      <w:r w:rsidRPr="00492CB8">
        <w:rPr>
          <w:bCs/>
          <w:sz w:val="22"/>
          <w:szCs w:val="22"/>
        </w:rPr>
        <w:t>γραμμα 4.4).</w:t>
      </w:r>
    </w:p>
    <w:p w:rsidR="00DB5414" w:rsidRDefault="00DB5414" w:rsidP="00DB5414">
      <w:pPr>
        <w:pStyle w:val="a9"/>
        <w:tabs>
          <w:tab w:val="left" w:pos="9355"/>
        </w:tabs>
        <w:jc w:val="both"/>
        <w:rPr>
          <w:sz w:val="22"/>
          <w:szCs w:val="22"/>
        </w:rPr>
      </w:pPr>
    </w:p>
    <w:p w:rsidR="00AF2BC5" w:rsidRPr="009D29B2" w:rsidRDefault="00AF2BC5" w:rsidP="00DB5414">
      <w:pPr>
        <w:pStyle w:val="a9"/>
        <w:tabs>
          <w:tab w:val="left" w:pos="9355"/>
        </w:tabs>
        <w:jc w:val="both"/>
        <w:rPr>
          <w:sz w:val="22"/>
          <w:szCs w:val="22"/>
        </w:rPr>
      </w:pPr>
    </w:p>
    <w:tbl>
      <w:tblPr>
        <w:tblW w:w="0" w:type="auto"/>
        <w:tblLook w:val="01E0"/>
      </w:tblPr>
      <w:tblGrid>
        <w:gridCol w:w="9287"/>
      </w:tblGrid>
      <w:tr w:rsidR="00DB5414" w:rsidRPr="0015043C" w:rsidTr="004B1E21">
        <w:tc>
          <w:tcPr>
            <w:tcW w:w="9287" w:type="dxa"/>
            <w:shd w:val="clear" w:color="auto" w:fill="404040" w:themeFill="text1" w:themeFillTint="BF"/>
          </w:tcPr>
          <w:p w:rsidR="00DB5414" w:rsidRPr="0015043C" w:rsidRDefault="00DB5414" w:rsidP="004B1E21">
            <w:pPr>
              <w:pStyle w:val="a9"/>
              <w:tabs>
                <w:tab w:val="left" w:pos="9355"/>
              </w:tabs>
              <w:spacing w:before="120"/>
              <w:jc w:val="center"/>
            </w:pPr>
            <w:r>
              <w:rPr>
                <w:rFonts w:ascii="Arial Narrow" w:hAnsi="Arial Narrow"/>
                <w:b/>
                <w:color w:val="FFFFFF"/>
                <w:szCs w:val="22"/>
              </w:rPr>
              <w:t>Διάγραμμα 4.4</w:t>
            </w:r>
            <w:r w:rsidRPr="0015043C">
              <w:rPr>
                <w:rFonts w:ascii="Arial Narrow" w:hAnsi="Arial Narrow"/>
                <w:b/>
                <w:color w:val="FFFFFF"/>
                <w:szCs w:val="22"/>
              </w:rPr>
              <w:t xml:space="preserve">   Καμπύλη αποδόσεων τίτλων Ελληνικού Δημοσίου</w:t>
            </w:r>
          </w:p>
        </w:tc>
      </w:tr>
      <w:tr w:rsidR="00DB5414" w:rsidRPr="0015043C" w:rsidTr="004B1E21">
        <w:tc>
          <w:tcPr>
            <w:tcW w:w="9287" w:type="dxa"/>
          </w:tcPr>
          <w:p w:rsidR="00DB5414" w:rsidRPr="0015043C" w:rsidRDefault="00173359" w:rsidP="004B1E21">
            <w:pPr>
              <w:pStyle w:val="a9"/>
              <w:tabs>
                <w:tab w:val="left" w:pos="9355"/>
              </w:tabs>
              <w:spacing w:before="120" w:after="0"/>
              <w:jc w:val="center"/>
            </w:pPr>
            <w:r w:rsidRPr="00173359">
              <w:rPr>
                <w:noProof/>
              </w:rPr>
              <w:drawing>
                <wp:inline distT="0" distB="0" distL="0" distR="0">
                  <wp:extent cx="4762500" cy="2621280"/>
                  <wp:effectExtent l="0" t="0" r="0" b="0"/>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DB5414" w:rsidRPr="0015043C" w:rsidRDefault="00DB5414" w:rsidP="00DB5414">
      <w:pPr>
        <w:tabs>
          <w:tab w:val="left" w:pos="180"/>
        </w:tabs>
        <w:jc w:val="both"/>
        <w:rPr>
          <w:rFonts w:ascii="Arial Narrow" w:hAnsi="Arial Narrow"/>
          <w:sz w:val="16"/>
          <w:szCs w:val="16"/>
        </w:rPr>
      </w:pPr>
      <w:bookmarkStart w:id="2" w:name="OLE_LINK5"/>
      <w:bookmarkStart w:id="3" w:name="OLE_LINK6"/>
      <w:r>
        <w:rPr>
          <w:rFonts w:ascii="Arial Narrow" w:hAnsi="Arial Narrow"/>
          <w:sz w:val="16"/>
          <w:szCs w:val="16"/>
        </w:rPr>
        <w:t xml:space="preserve">                   </w:t>
      </w:r>
      <w:r w:rsidRPr="0015043C">
        <w:rPr>
          <w:rFonts w:ascii="Arial Narrow" w:hAnsi="Arial Narrow"/>
          <w:sz w:val="16"/>
          <w:szCs w:val="16"/>
        </w:rPr>
        <w:t xml:space="preserve">Πηγή:  </w:t>
      </w:r>
      <w:r>
        <w:rPr>
          <w:rFonts w:ascii="Arial Narrow" w:hAnsi="Arial Narrow"/>
          <w:sz w:val="16"/>
          <w:szCs w:val="16"/>
        </w:rPr>
        <w:t>ΟΔΔΗΧ</w:t>
      </w:r>
    </w:p>
    <w:bookmarkEnd w:id="2"/>
    <w:bookmarkEnd w:id="3"/>
    <w:p w:rsidR="00DB5414" w:rsidRDefault="00DB5414" w:rsidP="00DB5414">
      <w:pPr>
        <w:jc w:val="both"/>
        <w:rPr>
          <w:bCs/>
          <w:sz w:val="22"/>
          <w:szCs w:val="22"/>
        </w:rPr>
      </w:pPr>
    </w:p>
    <w:p w:rsidR="00DB5414" w:rsidRDefault="00DB5414" w:rsidP="00DB5414">
      <w:pPr>
        <w:jc w:val="both"/>
        <w:rPr>
          <w:bCs/>
          <w:sz w:val="22"/>
          <w:szCs w:val="22"/>
        </w:rPr>
      </w:pPr>
    </w:p>
    <w:p w:rsidR="00AF2BC5" w:rsidRDefault="00AF2BC5" w:rsidP="00DB5414">
      <w:pPr>
        <w:jc w:val="both"/>
        <w:rPr>
          <w:bCs/>
          <w:sz w:val="22"/>
          <w:szCs w:val="22"/>
        </w:rPr>
      </w:pPr>
    </w:p>
    <w:p w:rsidR="00DB5414" w:rsidRDefault="00DB5414" w:rsidP="00DB5414">
      <w:pPr>
        <w:jc w:val="both"/>
        <w:rPr>
          <w:bCs/>
          <w:sz w:val="22"/>
          <w:szCs w:val="22"/>
        </w:rPr>
      </w:pPr>
      <w:r w:rsidRPr="005923F7">
        <w:rPr>
          <w:bCs/>
          <w:sz w:val="22"/>
          <w:szCs w:val="22"/>
        </w:rPr>
        <w:t>Η διαφορά απόδοσης (yield spread) μεταξύ του δεκαετούς ελληνικού και του αντίστοιχου γερμανικού ομολόγου αναφοράς παρουσίασε διακυμάνσεις τους πρώτους μήνες του 2019 και κινήθηκε, ως επί το πλείστον, στα επίπεδα των 350-400 μονάδων βάσης. Από τις αρχές Ιουνίου το περιθώριο απόδοσης υποχωρεί σταθερά έναντι του γερμανικού κάτω από τις 300 μονάδες και διαμορφώνεται στα τρέχοντα επίπεδα των 1</w:t>
      </w:r>
      <w:r w:rsidRPr="006825D5">
        <w:rPr>
          <w:bCs/>
          <w:sz w:val="22"/>
          <w:szCs w:val="22"/>
        </w:rPr>
        <w:t>64</w:t>
      </w:r>
      <w:r w:rsidRPr="005923F7">
        <w:rPr>
          <w:bCs/>
          <w:sz w:val="22"/>
          <w:szCs w:val="22"/>
        </w:rPr>
        <w:t xml:space="preserve"> μονάδων βάσης, με την τρέχουσα απόδοση του δεκαετούς ομολόγου να διαμορφών</w:t>
      </w:r>
      <w:r w:rsidRPr="005923F7">
        <w:rPr>
          <w:bCs/>
          <w:sz w:val="22"/>
          <w:szCs w:val="22"/>
        </w:rPr>
        <w:t>ε</w:t>
      </w:r>
      <w:r w:rsidRPr="005923F7">
        <w:rPr>
          <w:bCs/>
          <w:sz w:val="22"/>
          <w:szCs w:val="22"/>
        </w:rPr>
        <w:t>ται γύρω στο 1,</w:t>
      </w:r>
      <w:r w:rsidRPr="006825D5">
        <w:rPr>
          <w:bCs/>
          <w:sz w:val="22"/>
          <w:szCs w:val="22"/>
        </w:rPr>
        <w:t>39</w:t>
      </w:r>
      <w:r w:rsidRPr="005923F7">
        <w:rPr>
          <w:bCs/>
          <w:sz w:val="22"/>
          <w:szCs w:val="22"/>
        </w:rPr>
        <w:t xml:space="preserve">%. </w:t>
      </w:r>
    </w:p>
    <w:p w:rsidR="00DB5414" w:rsidRPr="005923F7" w:rsidRDefault="00DB5414" w:rsidP="00DB5414">
      <w:pPr>
        <w:jc w:val="both"/>
        <w:rPr>
          <w:bCs/>
          <w:sz w:val="22"/>
          <w:szCs w:val="22"/>
        </w:rPr>
      </w:pPr>
    </w:p>
    <w:p w:rsidR="00DB5414" w:rsidRDefault="00DB5414" w:rsidP="00DB5414">
      <w:pPr>
        <w:jc w:val="both"/>
        <w:rPr>
          <w:bCs/>
          <w:sz w:val="22"/>
          <w:szCs w:val="22"/>
        </w:rPr>
      </w:pPr>
      <w:r w:rsidRPr="00A06C1B">
        <w:rPr>
          <w:bCs/>
          <w:sz w:val="22"/>
          <w:szCs w:val="22"/>
        </w:rPr>
        <w:t>Κατά τη διάρκεια του 2019 οι αποδόσεις των 10ετών κρατικών τίτλων των υπόλοιπων χωρών της ε</w:t>
      </w:r>
      <w:r w:rsidRPr="00A06C1B">
        <w:rPr>
          <w:bCs/>
          <w:sz w:val="22"/>
          <w:szCs w:val="22"/>
        </w:rPr>
        <w:t>υ</w:t>
      </w:r>
      <w:r w:rsidRPr="00A06C1B">
        <w:rPr>
          <w:bCs/>
          <w:sz w:val="22"/>
          <w:szCs w:val="22"/>
        </w:rPr>
        <w:t>ρωζώνης</w:t>
      </w:r>
      <w:r>
        <w:rPr>
          <w:bCs/>
          <w:sz w:val="22"/>
          <w:szCs w:val="22"/>
        </w:rPr>
        <w:t xml:space="preserve"> </w:t>
      </w:r>
      <w:r w:rsidRPr="00A06C1B">
        <w:rPr>
          <w:bCs/>
          <w:sz w:val="22"/>
          <w:szCs w:val="22"/>
        </w:rPr>
        <w:t>εξακολούθησαν να διαμορφώνονται σε ιστορικά χαμηλά επίπεδα</w:t>
      </w:r>
      <w:r>
        <w:rPr>
          <w:bCs/>
          <w:sz w:val="22"/>
          <w:szCs w:val="22"/>
        </w:rPr>
        <w:t xml:space="preserve">, ενώ για ορισμένες χώρες, </w:t>
      </w:r>
      <w:r w:rsidRPr="00A06C1B">
        <w:rPr>
          <w:bCs/>
          <w:sz w:val="22"/>
          <w:szCs w:val="22"/>
        </w:rPr>
        <w:t xml:space="preserve">όπως το Βέλγιο, η </w:t>
      </w:r>
      <w:r>
        <w:rPr>
          <w:bCs/>
          <w:sz w:val="22"/>
          <w:szCs w:val="22"/>
        </w:rPr>
        <w:t xml:space="preserve">Γαλλία και η Ιρλανδία, οι αποδόσεις των 10-ετών ομολόγων τους ήταν αρνητικές </w:t>
      </w:r>
      <w:r w:rsidRPr="00A06C1B">
        <w:rPr>
          <w:bCs/>
          <w:sz w:val="22"/>
          <w:szCs w:val="22"/>
        </w:rPr>
        <w:t>(διάγραμμα 4.5).</w:t>
      </w:r>
    </w:p>
    <w:p w:rsidR="00AF2BC5" w:rsidRDefault="00AF2BC5" w:rsidP="00DB5414">
      <w:pPr>
        <w:jc w:val="both"/>
        <w:rPr>
          <w:bCs/>
          <w:sz w:val="22"/>
          <w:szCs w:val="22"/>
        </w:rPr>
      </w:pPr>
    </w:p>
    <w:p w:rsidR="00DB5414" w:rsidRDefault="00DB5414" w:rsidP="00DB5414">
      <w:pPr>
        <w:jc w:val="both"/>
        <w:rPr>
          <w:bCs/>
          <w:sz w:val="22"/>
          <w:szCs w:val="22"/>
        </w:rPr>
      </w:pPr>
    </w:p>
    <w:tbl>
      <w:tblPr>
        <w:tblW w:w="0" w:type="auto"/>
        <w:tblLook w:val="01E0"/>
      </w:tblPr>
      <w:tblGrid>
        <w:gridCol w:w="9287"/>
      </w:tblGrid>
      <w:tr w:rsidR="00AF2BC5" w:rsidRPr="0015043C" w:rsidTr="004B1E21">
        <w:tc>
          <w:tcPr>
            <w:tcW w:w="9287" w:type="dxa"/>
            <w:shd w:val="clear" w:color="auto" w:fill="404040" w:themeFill="text1" w:themeFillTint="BF"/>
          </w:tcPr>
          <w:p w:rsidR="00AF2BC5" w:rsidRDefault="00AF2BC5" w:rsidP="004B1E21">
            <w:pPr>
              <w:pStyle w:val="a9"/>
              <w:tabs>
                <w:tab w:val="left" w:pos="9355"/>
              </w:tabs>
              <w:spacing w:before="120" w:after="0"/>
              <w:jc w:val="center"/>
              <w:rPr>
                <w:rFonts w:ascii="Arial Narrow" w:hAnsi="Arial Narrow"/>
                <w:b/>
                <w:color w:val="FFFFFF"/>
                <w:szCs w:val="22"/>
              </w:rPr>
            </w:pPr>
            <w:r>
              <w:rPr>
                <w:rFonts w:ascii="Arial Narrow" w:hAnsi="Arial Narrow"/>
                <w:b/>
                <w:color w:val="FFFFFF"/>
                <w:szCs w:val="22"/>
              </w:rPr>
              <w:lastRenderedPageBreak/>
              <w:t>Διάγραμμα 4.5</w:t>
            </w:r>
            <w:r w:rsidRPr="0015043C">
              <w:rPr>
                <w:rFonts w:ascii="Arial Narrow" w:hAnsi="Arial Narrow"/>
                <w:b/>
                <w:color w:val="FFFFFF"/>
                <w:szCs w:val="22"/>
              </w:rPr>
              <w:t xml:space="preserve">   </w:t>
            </w:r>
            <w:r>
              <w:rPr>
                <w:rFonts w:ascii="Arial Narrow" w:hAnsi="Arial Narrow"/>
                <w:b/>
                <w:color w:val="FFFFFF"/>
                <w:szCs w:val="22"/>
              </w:rPr>
              <w:t>Αποδόσεις 10ετών κρατικών τίτλων</w:t>
            </w:r>
          </w:p>
          <w:p w:rsidR="00AF2BC5" w:rsidRPr="0015043C" w:rsidRDefault="00AF2BC5" w:rsidP="004B1E21">
            <w:pPr>
              <w:pStyle w:val="a9"/>
              <w:tabs>
                <w:tab w:val="left" w:pos="9355"/>
              </w:tabs>
              <w:jc w:val="center"/>
            </w:pPr>
            <w:r>
              <w:rPr>
                <w:rFonts w:ascii="Arial Narrow" w:hAnsi="Arial Narrow"/>
                <w:b/>
                <w:color w:val="FFFFFF"/>
                <w:szCs w:val="22"/>
              </w:rPr>
              <w:t>(ημερήσια στοιχεία – αποδόσεις)</w:t>
            </w:r>
          </w:p>
        </w:tc>
      </w:tr>
      <w:tr w:rsidR="00AF2BC5" w:rsidRPr="0015043C" w:rsidTr="004B1E21">
        <w:tc>
          <w:tcPr>
            <w:tcW w:w="9287" w:type="dxa"/>
          </w:tcPr>
          <w:p w:rsidR="00AF2BC5" w:rsidRPr="008A318A" w:rsidRDefault="00AF2BC5" w:rsidP="004B1E21">
            <w:pPr>
              <w:pStyle w:val="a9"/>
              <w:tabs>
                <w:tab w:val="left" w:pos="9355"/>
              </w:tabs>
              <w:spacing w:before="120" w:after="0"/>
              <w:jc w:val="center"/>
            </w:pPr>
            <w:r w:rsidRPr="00AF2BC5">
              <w:rPr>
                <w:noProof/>
              </w:rPr>
              <w:drawing>
                <wp:inline distT="0" distB="0" distL="0" distR="0">
                  <wp:extent cx="5273749" cy="3138731"/>
                  <wp:effectExtent l="0" t="0" r="0" b="0"/>
                  <wp:docPr id="6"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AF2BC5" w:rsidRPr="0015043C" w:rsidRDefault="00AF2BC5" w:rsidP="00AF2BC5">
      <w:pPr>
        <w:tabs>
          <w:tab w:val="left" w:pos="180"/>
        </w:tabs>
        <w:jc w:val="both"/>
        <w:rPr>
          <w:rFonts w:ascii="Arial Narrow" w:hAnsi="Arial Narrow"/>
          <w:sz w:val="16"/>
          <w:szCs w:val="16"/>
        </w:rPr>
      </w:pPr>
      <w:r>
        <w:rPr>
          <w:rFonts w:ascii="Arial Narrow" w:hAnsi="Arial Narrow"/>
          <w:sz w:val="16"/>
          <w:szCs w:val="16"/>
        </w:rPr>
        <w:t xml:space="preserve">           </w:t>
      </w:r>
      <w:r w:rsidRPr="0015043C">
        <w:rPr>
          <w:rFonts w:ascii="Arial Narrow" w:hAnsi="Arial Narrow"/>
          <w:sz w:val="16"/>
          <w:szCs w:val="16"/>
        </w:rPr>
        <w:t xml:space="preserve">Πηγή:  </w:t>
      </w:r>
      <w:r>
        <w:rPr>
          <w:rFonts w:ascii="Arial Narrow" w:hAnsi="Arial Narrow"/>
          <w:sz w:val="16"/>
          <w:szCs w:val="16"/>
        </w:rPr>
        <w:t>ΟΔΔΗΧ</w:t>
      </w:r>
    </w:p>
    <w:p w:rsidR="00AF2BC5" w:rsidRDefault="00AF2BC5">
      <w:pPr>
        <w:rPr>
          <w:rFonts w:ascii="Arial Narrow" w:hAnsi="Arial Narrow"/>
          <w:b/>
          <w:color w:val="FFFFFF"/>
          <w:sz w:val="26"/>
          <w:szCs w:val="26"/>
        </w:rPr>
      </w:pPr>
    </w:p>
    <w:p w:rsidR="009B54E7" w:rsidRDefault="009B54E7" w:rsidP="009B54E7">
      <w:pPr>
        <w:jc w:val="both"/>
        <w:outlineLvl w:val="7"/>
        <w:rPr>
          <w:rFonts w:ascii="Arial Narrow" w:hAnsi="Arial Narrow"/>
          <w:b/>
          <w:bCs/>
          <w:color w:val="000080"/>
          <w:szCs w:val="22"/>
        </w:rPr>
      </w:pPr>
      <w:r w:rsidRPr="00B82B6C">
        <w:rPr>
          <w:rFonts w:ascii="Arial Narrow" w:hAnsi="Arial Narrow"/>
          <w:b/>
          <w:bCs/>
          <w:color w:val="000080"/>
          <w:szCs w:val="22"/>
        </w:rPr>
        <w:t>Πρωτογενής αγορά τίτλων</w:t>
      </w:r>
    </w:p>
    <w:p w:rsidR="009B54E7" w:rsidRPr="001B72B3" w:rsidRDefault="009B54E7" w:rsidP="009B54E7">
      <w:pPr>
        <w:jc w:val="both"/>
        <w:outlineLvl w:val="7"/>
        <w:rPr>
          <w:rFonts w:ascii="Arial Narrow" w:hAnsi="Arial Narrow"/>
          <w:b/>
          <w:bCs/>
          <w:sz w:val="22"/>
          <w:szCs w:val="22"/>
        </w:rPr>
      </w:pPr>
    </w:p>
    <w:p w:rsidR="009B54E7" w:rsidRPr="00F262AE" w:rsidRDefault="009B54E7" w:rsidP="009B54E7">
      <w:pPr>
        <w:jc w:val="both"/>
        <w:rPr>
          <w:bCs/>
          <w:sz w:val="22"/>
          <w:szCs w:val="22"/>
        </w:rPr>
      </w:pPr>
      <w:r w:rsidRPr="00F262AE">
        <w:rPr>
          <w:bCs/>
          <w:sz w:val="22"/>
          <w:szCs w:val="22"/>
        </w:rPr>
        <w:t>Το Ελληνικό Δημόσιο πραγματοποίησε τον Φεβρουάριο του 2019 κοινοπρακτική έκδοση πενταετούς ομολόγου ύψους 2.500 εκατ. ευρώ με σταθερό επιτόκιο 3,45%. Ακολούθησε, το Μάρτιο του 2019, η κοινοπρακτική έκδοση δεκαετούς ομολόγου ύψους 2.500 εκατ. ευρώ με σταθερό επιτόκιο 3,875%, για πρώτη φορά μετά το 2010</w:t>
      </w:r>
      <w:r>
        <w:rPr>
          <w:bCs/>
          <w:sz w:val="22"/>
          <w:szCs w:val="22"/>
        </w:rPr>
        <w:t>, ενώ</w:t>
      </w:r>
      <w:r w:rsidRPr="00F262AE">
        <w:rPr>
          <w:bCs/>
          <w:sz w:val="22"/>
          <w:szCs w:val="22"/>
        </w:rPr>
        <w:t xml:space="preserve"> τον Ιούλιο του 2019 πραγματοποιήθηκε κοινοπρακτική έκδοση επτα</w:t>
      </w:r>
      <w:r w:rsidRPr="00F262AE">
        <w:rPr>
          <w:bCs/>
          <w:sz w:val="22"/>
          <w:szCs w:val="22"/>
        </w:rPr>
        <w:t>ε</w:t>
      </w:r>
      <w:r w:rsidRPr="00F262AE">
        <w:rPr>
          <w:bCs/>
          <w:sz w:val="22"/>
          <w:szCs w:val="22"/>
        </w:rPr>
        <w:t xml:space="preserve">τούς ομολόγου ύψους 2.500 εκατ. ευρώ με σταθερό επιτόκιο 1,875%. </w:t>
      </w:r>
      <w:r>
        <w:rPr>
          <w:bCs/>
          <w:sz w:val="22"/>
          <w:szCs w:val="22"/>
        </w:rPr>
        <w:t xml:space="preserve">Τέλος, τον Οκτώβριο του 2019 πραγματοποιήθηκε κοινοπρακτική επανέκδοση του δεκαετούς ομολόγου σταθερού επιτοκίου 3,875% με την απόδοση στη λήξη να διαμορφώνεται στο 1,50%. </w:t>
      </w:r>
    </w:p>
    <w:p w:rsidR="009B54E7" w:rsidRPr="00F262AE" w:rsidRDefault="009B54E7" w:rsidP="009B54E7">
      <w:pPr>
        <w:jc w:val="both"/>
        <w:rPr>
          <w:bCs/>
          <w:sz w:val="22"/>
          <w:szCs w:val="22"/>
        </w:rPr>
      </w:pPr>
    </w:p>
    <w:p w:rsidR="009B54E7" w:rsidRPr="00F262AE" w:rsidRDefault="009B54E7" w:rsidP="009B54E7">
      <w:pPr>
        <w:jc w:val="both"/>
        <w:rPr>
          <w:bCs/>
          <w:sz w:val="22"/>
          <w:szCs w:val="22"/>
        </w:rPr>
      </w:pPr>
      <w:r w:rsidRPr="00F262AE">
        <w:rPr>
          <w:bCs/>
          <w:sz w:val="22"/>
          <w:szCs w:val="22"/>
        </w:rPr>
        <w:t>Κατά τη διάρκεια του έτους το Ελληνικό Δημόσιο συνέχισε να εκδίδει τίτλους βραχυπρόθεσμης διά</w:t>
      </w:r>
      <w:r w:rsidRPr="00F262AE">
        <w:rPr>
          <w:bCs/>
          <w:sz w:val="22"/>
          <w:szCs w:val="22"/>
        </w:rPr>
        <w:t>ρ</w:t>
      </w:r>
      <w:r w:rsidRPr="00F262AE">
        <w:rPr>
          <w:bCs/>
          <w:sz w:val="22"/>
          <w:szCs w:val="22"/>
        </w:rPr>
        <w:t>κειας. Η βραχυπρόθεσμη χρηματοδότηση πραγματοποιήθηκε με μηνιαίες εκδόσεις εντόκων γραμμ</w:t>
      </w:r>
      <w:r w:rsidRPr="00F262AE">
        <w:rPr>
          <w:bCs/>
          <w:sz w:val="22"/>
          <w:szCs w:val="22"/>
        </w:rPr>
        <w:t>α</w:t>
      </w:r>
      <w:r w:rsidRPr="00F262AE">
        <w:rPr>
          <w:bCs/>
          <w:sz w:val="22"/>
          <w:szCs w:val="22"/>
        </w:rPr>
        <w:t>τίων διάρκειας 13 και 26 εβδομάδων και τριμηνιαίες 52 εβδομάδων, καθώς επίσης και σύναψη συ</w:t>
      </w:r>
      <w:r w:rsidRPr="00F262AE">
        <w:rPr>
          <w:bCs/>
          <w:sz w:val="22"/>
          <w:szCs w:val="22"/>
        </w:rPr>
        <w:t>μ</w:t>
      </w:r>
      <w:r w:rsidRPr="00F262AE">
        <w:rPr>
          <w:bCs/>
          <w:sz w:val="22"/>
          <w:szCs w:val="22"/>
        </w:rPr>
        <w:t xml:space="preserve">φωνιών </w:t>
      </w:r>
      <w:r w:rsidRPr="00F262AE">
        <w:rPr>
          <w:bCs/>
          <w:sz w:val="22"/>
          <w:szCs w:val="22"/>
          <w:lang w:val="en-US"/>
        </w:rPr>
        <w:t>repos</w:t>
      </w:r>
      <w:r w:rsidRPr="00F262AE">
        <w:rPr>
          <w:bCs/>
          <w:sz w:val="22"/>
          <w:szCs w:val="22"/>
        </w:rPr>
        <w:t xml:space="preserve"> κυρίως με τους φορείς της Γενικής Κυβέρνησης. Στις 3</w:t>
      </w:r>
      <w:r>
        <w:rPr>
          <w:bCs/>
          <w:sz w:val="22"/>
          <w:szCs w:val="22"/>
        </w:rPr>
        <w:t>0</w:t>
      </w:r>
      <w:r w:rsidRPr="00F262AE">
        <w:rPr>
          <w:bCs/>
          <w:sz w:val="22"/>
          <w:szCs w:val="22"/>
        </w:rPr>
        <w:t>/0</w:t>
      </w:r>
      <w:r>
        <w:rPr>
          <w:bCs/>
          <w:sz w:val="22"/>
          <w:szCs w:val="22"/>
        </w:rPr>
        <w:t>9</w:t>
      </w:r>
      <w:r w:rsidRPr="00F262AE">
        <w:rPr>
          <w:bCs/>
          <w:sz w:val="22"/>
          <w:szCs w:val="22"/>
        </w:rPr>
        <w:t>/2019 το ανεξόφλητο υπ</w:t>
      </w:r>
      <w:r w:rsidRPr="00F262AE">
        <w:rPr>
          <w:bCs/>
          <w:sz w:val="22"/>
          <w:szCs w:val="22"/>
        </w:rPr>
        <w:t>ό</w:t>
      </w:r>
      <w:r w:rsidRPr="00F262AE">
        <w:rPr>
          <w:bCs/>
          <w:sz w:val="22"/>
          <w:szCs w:val="22"/>
        </w:rPr>
        <w:t xml:space="preserve">λοιπο των ΕΓΕΔ ανερχόταν σε </w:t>
      </w:r>
      <w:r w:rsidRPr="00F76097">
        <w:rPr>
          <w:bCs/>
          <w:sz w:val="22"/>
          <w:szCs w:val="22"/>
        </w:rPr>
        <w:t>15.231,3 εκατ</w:t>
      </w:r>
      <w:r w:rsidRPr="00F262AE">
        <w:rPr>
          <w:bCs/>
          <w:sz w:val="22"/>
          <w:szCs w:val="22"/>
        </w:rPr>
        <w:t xml:space="preserve">. ευρώ, ενώ τα </w:t>
      </w:r>
      <w:r w:rsidRPr="00F262AE">
        <w:rPr>
          <w:bCs/>
          <w:sz w:val="22"/>
          <w:szCs w:val="22"/>
          <w:lang w:val="en-US"/>
        </w:rPr>
        <w:t>repos</w:t>
      </w:r>
      <w:r w:rsidRPr="00F262AE">
        <w:rPr>
          <w:bCs/>
          <w:sz w:val="22"/>
          <w:szCs w:val="22"/>
        </w:rPr>
        <w:t xml:space="preserve"> ανήλθαν </w:t>
      </w:r>
      <w:r w:rsidRPr="00394BFF">
        <w:rPr>
          <w:bCs/>
          <w:sz w:val="22"/>
          <w:szCs w:val="22"/>
        </w:rPr>
        <w:t>σε 21.072,2 εκατ</w:t>
      </w:r>
      <w:r w:rsidRPr="00F262AE">
        <w:rPr>
          <w:bCs/>
          <w:sz w:val="22"/>
          <w:szCs w:val="22"/>
        </w:rPr>
        <w:t>. ευρώ</w:t>
      </w:r>
      <w:r w:rsidR="00443369">
        <w:rPr>
          <w:bCs/>
          <w:sz w:val="22"/>
          <w:szCs w:val="22"/>
        </w:rPr>
        <w:t xml:space="preserve"> (πίνακας 4.4)</w:t>
      </w:r>
      <w:r w:rsidRPr="00F262AE">
        <w:rPr>
          <w:bCs/>
          <w:sz w:val="22"/>
          <w:szCs w:val="22"/>
        </w:rPr>
        <w:t>.</w:t>
      </w:r>
    </w:p>
    <w:p w:rsidR="009B54E7" w:rsidRPr="00835D2C" w:rsidRDefault="009B54E7" w:rsidP="009B54E7">
      <w:pPr>
        <w:jc w:val="both"/>
        <w:rPr>
          <w:bCs/>
          <w:sz w:val="22"/>
          <w:szCs w:val="22"/>
        </w:rPr>
      </w:pPr>
    </w:p>
    <w:p w:rsidR="009B54E7" w:rsidRDefault="009B54E7" w:rsidP="009B54E7">
      <w:pPr>
        <w:jc w:val="both"/>
        <w:rPr>
          <w:bCs/>
          <w:sz w:val="22"/>
          <w:szCs w:val="22"/>
        </w:rPr>
      </w:pPr>
      <w:r w:rsidRPr="00683A95">
        <w:rPr>
          <w:bCs/>
          <w:sz w:val="22"/>
          <w:szCs w:val="22"/>
        </w:rPr>
        <w:t xml:space="preserve">Ο μεσοσταθμικός συντελεστής κάλυψης των δημοπρασιών ΕΓΕΔ διαμορφώθηκε </w:t>
      </w:r>
      <w:r w:rsidRPr="005910FB">
        <w:rPr>
          <w:bCs/>
          <w:sz w:val="22"/>
          <w:szCs w:val="22"/>
        </w:rPr>
        <w:t>στο 1</w:t>
      </w:r>
      <w:r w:rsidRPr="003962DB">
        <w:rPr>
          <w:bCs/>
          <w:sz w:val="22"/>
          <w:szCs w:val="22"/>
        </w:rPr>
        <w:t xml:space="preserve">,85. Το μέσο σταθμικό επιτόκιο νέου δανεισμού το οποίο </w:t>
      </w:r>
      <w:r>
        <w:rPr>
          <w:bCs/>
          <w:sz w:val="22"/>
          <w:szCs w:val="22"/>
        </w:rPr>
        <w:t>αποτελείται από</w:t>
      </w:r>
      <w:r w:rsidRPr="003962DB">
        <w:rPr>
          <w:bCs/>
          <w:sz w:val="22"/>
          <w:szCs w:val="22"/>
        </w:rPr>
        <w:t xml:space="preserve"> τις εκδόσεις εντόκων γραμματίων</w:t>
      </w:r>
      <w:r>
        <w:rPr>
          <w:bCs/>
          <w:sz w:val="22"/>
          <w:szCs w:val="22"/>
        </w:rPr>
        <w:t xml:space="preserve"> και</w:t>
      </w:r>
      <w:r w:rsidRPr="003962DB">
        <w:rPr>
          <w:bCs/>
          <w:sz w:val="22"/>
          <w:szCs w:val="22"/>
        </w:rPr>
        <w:t xml:space="preserve"> ομολόγων</w:t>
      </w:r>
      <w:r>
        <w:rPr>
          <w:bCs/>
          <w:sz w:val="22"/>
          <w:szCs w:val="22"/>
        </w:rPr>
        <w:t xml:space="preserve"> καθώς επίσης και από τα δάνεια της Ευρωπαϊκής Τράπεζας Επενδύσεων</w:t>
      </w:r>
      <w:r w:rsidRPr="003962DB">
        <w:rPr>
          <w:bCs/>
          <w:sz w:val="22"/>
          <w:szCs w:val="22"/>
        </w:rPr>
        <w:t>, έως 30/09/2019 διαμορφώθηκε στο 1,5</w:t>
      </w:r>
      <w:r w:rsidRPr="00C41327">
        <w:rPr>
          <w:bCs/>
          <w:sz w:val="22"/>
          <w:szCs w:val="22"/>
        </w:rPr>
        <w:t>9</w:t>
      </w:r>
      <w:r w:rsidRPr="003962DB">
        <w:rPr>
          <w:bCs/>
          <w:sz w:val="22"/>
          <w:szCs w:val="22"/>
        </w:rPr>
        <w:t>%, ενώ η μέση φυσική διάρκεια του νέου δανεισμού διαμορφώθηκε σε 3,3 έτη έναντι 19,88 έτη την αντίστοιχη περυσινή περίοδο.</w:t>
      </w:r>
    </w:p>
    <w:p w:rsidR="009B54E7" w:rsidRDefault="009B54E7" w:rsidP="009B54E7">
      <w:pPr>
        <w:jc w:val="both"/>
        <w:rPr>
          <w:bCs/>
          <w:sz w:val="22"/>
          <w:szCs w:val="22"/>
        </w:rPr>
      </w:pPr>
    </w:p>
    <w:p w:rsidR="009B54E7" w:rsidRPr="0015043C" w:rsidRDefault="009B54E7" w:rsidP="009B54E7">
      <w:pPr>
        <w:jc w:val="both"/>
        <w:outlineLvl w:val="8"/>
        <w:rPr>
          <w:rFonts w:ascii="Arial Narrow" w:hAnsi="Arial Narrow"/>
          <w:b/>
          <w:bCs/>
          <w:color w:val="000080"/>
          <w:szCs w:val="22"/>
        </w:rPr>
      </w:pPr>
      <w:r w:rsidRPr="0015043C">
        <w:rPr>
          <w:rFonts w:ascii="Arial Narrow" w:hAnsi="Arial Narrow"/>
          <w:b/>
          <w:bCs/>
          <w:color w:val="000080"/>
          <w:szCs w:val="22"/>
        </w:rPr>
        <w:t>Δευτερογενής αγορά τίτλων</w:t>
      </w:r>
    </w:p>
    <w:p w:rsidR="009B54E7" w:rsidRPr="000974DF" w:rsidRDefault="009B54E7" w:rsidP="009B54E7">
      <w:pPr>
        <w:jc w:val="both"/>
        <w:outlineLvl w:val="8"/>
        <w:rPr>
          <w:rFonts w:ascii="Arial Narrow" w:hAnsi="Arial Narrow"/>
          <w:b/>
          <w:bCs/>
          <w:color w:val="000080"/>
          <w:szCs w:val="22"/>
        </w:rPr>
      </w:pPr>
    </w:p>
    <w:p w:rsidR="009B54E7" w:rsidRPr="00C81DB9" w:rsidRDefault="009B54E7" w:rsidP="009B54E7">
      <w:pPr>
        <w:jc w:val="both"/>
        <w:rPr>
          <w:sz w:val="22"/>
          <w:szCs w:val="22"/>
        </w:rPr>
      </w:pPr>
      <w:r w:rsidRPr="00416D2A">
        <w:rPr>
          <w:sz w:val="22"/>
          <w:szCs w:val="22"/>
        </w:rPr>
        <w:t>Η συνολική αξία των συναλλαγών που καταγράφηκε στο Σύστημα Άυλων Τίτλων της Τράπεζας της Ελλάδος, η οποία περιλαμβάνει τις αγοραπωλησίες τίτλων και τις συμφωνίες επαναγοράς στην εξ</w:t>
      </w:r>
      <w:r w:rsidRPr="00416D2A">
        <w:rPr>
          <w:sz w:val="22"/>
          <w:szCs w:val="22"/>
        </w:rPr>
        <w:t>ω</w:t>
      </w:r>
      <w:r w:rsidRPr="00416D2A">
        <w:rPr>
          <w:sz w:val="22"/>
          <w:szCs w:val="22"/>
        </w:rPr>
        <w:t>χρηματιστηριακή αγορά (over-the-counter) και τις ηλεκτρονικές πλατφόρμες διαπραγμάτευσης, δι</w:t>
      </w:r>
      <w:r w:rsidRPr="00416D2A">
        <w:rPr>
          <w:sz w:val="22"/>
          <w:szCs w:val="22"/>
        </w:rPr>
        <w:t>α</w:t>
      </w:r>
      <w:r w:rsidRPr="00416D2A">
        <w:rPr>
          <w:sz w:val="22"/>
          <w:szCs w:val="22"/>
        </w:rPr>
        <w:t xml:space="preserve">μορφώθηκε σε </w:t>
      </w:r>
      <w:r w:rsidRPr="002A5281">
        <w:rPr>
          <w:sz w:val="22"/>
          <w:szCs w:val="22"/>
        </w:rPr>
        <w:t>83</w:t>
      </w:r>
      <w:r w:rsidRPr="00416D2A">
        <w:rPr>
          <w:sz w:val="22"/>
          <w:szCs w:val="22"/>
        </w:rPr>
        <w:t>,</w:t>
      </w:r>
      <w:r w:rsidRPr="002A5281">
        <w:rPr>
          <w:sz w:val="22"/>
          <w:szCs w:val="22"/>
        </w:rPr>
        <w:t>65</w:t>
      </w:r>
      <w:r w:rsidRPr="00416D2A">
        <w:rPr>
          <w:sz w:val="22"/>
          <w:szCs w:val="22"/>
        </w:rPr>
        <w:t xml:space="preserve"> δισ. ευρώ το γ’ τρίμηνο του 201</w:t>
      </w:r>
      <w:r w:rsidRPr="002A5281">
        <w:rPr>
          <w:sz w:val="22"/>
          <w:szCs w:val="22"/>
        </w:rPr>
        <w:t>9</w:t>
      </w:r>
      <w:r w:rsidR="00EE0757">
        <w:rPr>
          <w:sz w:val="22"/>
          <w:szCs w:val="22"/>
        </w:rPr>
        <w:t>,</w:t>
      </w:r>
      <w:r w:rsidRPr="00416D2A">
        <w:rPr>
          <w:sz w:val="22"/>
          <w:szCs w:val="22"/>
        </w:rPr>
        <w:t xml:space="preserve"> έναντι </w:t>
      </w:r>
      <w:r w:rsidRPr="002A5281">
        <w:rPr>
          <w:sz w:val="22"/>
          <w:szCs w:val="22"/>
        </w:rPr>
        <w:t>93</w:t>
      </w:r>
      <w:r w:rsidRPr="00416D2A">
        <w:rPr>
          <w:sz w:val="22"/>
          <w:szCs w:val="22"/>
        </w:rPr>
        <w:t>,</w:t>
      </w:r>
      <w:r w:rsidRPr="002A5281">
        <w:rPr>
          <w:sz w:val="22"/>
          <w:szCs w:val="22"/>
        </w:rPr>
        <w:t>88</w:t>
      </w:r>
      <w:r w:rsidRPr="00416D2A">
        <w:rPr>
          <w:sz w:val="22"/>
          <w:szCs w:val="22"/>
        </w:rPr>
        <w:t xml:space="preserve"> δισ. ευρώ το β’ τρίμηνο του 201</w:t>
      </w:r>
      <w:r w:rsidRPr="002A5281">
        <w:rPr>
          <w:sz w:val="22"/>
          <w:szCs w:val="22"/>
        </w:rPr>
        <w:t>9</w:t>
      </w:r>
      <w:r w:rsidRPr="00416D2A">
        <w:rPr>
          <w:sz w:val="22"/>
          <w:szCs w:val="22"/>
        </w:rPr>
        <w:t>, ενώ το α’ τρίμηνο του 201</w:t>
      </w:r>
      <w:r w:rsidRPr="002A5281">
        <w:rPr>
          <w:sz w:val="22"/>
          <w:szCs w:val="22"/>
        </w:rPr>
        <w:t>9</w:t>
      </w:r>
      <w:r w:rsidRPr="00416D2A">
        <w:rPr>
          <w:sz w:val="22"/>
          <w:szCs w:val="22"/>
        </w:rPr>
        <w:t xml:space="preserve"> είχε διαμορφωθεί σε </w:t>
      </w:r>
      <w:r w:rsidRPr="002A5281">
        <w:rPr>
          <w:sz w:val="22"/>
          <w:szCs w:val="22"/>
        </w:rPr>
        <w:t>92</w:t>
      </w:r>
      <w:r w:rsidRPr="00416D2A">
        <w:rPr>
          <w:sz w:val="22"/>
          <w:szCs w:val="22"/>
        </w:rPr>
        <w:t>,</w:t>
      </w:r>
      <w:r w:rsidRPr="002A5281">
        <w:rPr>
          <w:sz w:val="22"/>
          <w:szCs w:val="22"/>
        </w:rPr>
        <w:t>27</w:t>
      </w:r>
      <w:r w:rsidRPr="00416D2A">
        <w:rPr>
          <w:sz w:val="22"/>
          <w:szCs w:val="22"/>
        </w:rPr>
        <w:t xml:space="preserve"> δισ. ευρώ.</w:t>
      </w:r>
      <w:r w:rsidRPr="00C81DB9">
        <w:rPr>
          <w:sz w:val="22"/>
          <w:szCs w:val="22"/>
        </w:rPr>
        <w:t xml:space="preserve"> </w:t>
      </w:r>
    </w:p>
    <w:p w:rsidR="009B54E7" w:rsidRPr="00C81DB9" w:rsidRDefault="009B54E7" w:rsidP="009B54E7">
      <w:pPr>
        <w:jc w:val="both"/>
        <w:rPr>
          <w:sz w:val="22"/>
          <w:szCs w:val="22"/>
        </w:rPr>
      </w:pPr>
    </w:p>
    <w:p w:rsidR="009B54E7" w:rsidRDefault="009B54E7" w:rsidP="009B54E7">
      <w:pPr>
        <w:jc w:val="both"/>
        <w:rPr>
          <w:sz w:val="22"/>
          <w:szCs w:val="22"/>
        </w:rPr>
      </w:pPr>
      <w:r w:rsidRPr="00C81DB9">
        <w:rPr>
          <w:sz w:val="22"/>
          <w:szCs w:val="22"/>
        </w:rPr>
        <w:t>Κατά το τρίτο τρίμηνο του 201</w:t>
      </w:r>
      <w:r>
        <w:rPr>
          <w:sz w:val="22"/>
          <w:szCs w:val="22"/>
        </w:rPr>
        <w:t>9</w:t>
      </w:r>
      <w:r w:rsidRPr="00C81DB9">
        <w:rPr>
          <w:sz w:val="22"/>
          <w:szCs w:val="22"/>
        </w:rPr>
        <w:t xml:space="preserve">, το </w:t>
      </w:r>
      <w:r>
        <w:rPr>
          <w:sz w:val="22"/>
          <w:szCs w:val="22"/>
        </w:rPr>
        <w:t>51,9</w:t>
      </w:r>
      <w:r w:rsidRPr="00C81DB9">
        <w:rPr>
          <w:sz w:val="22"/>
          <w:szCs w:val="22"/>
        </w:rPr>
        <w:t>% της συναλλακτικής δραστηριότητας στην Ηλεκτρονική Δευτερογενή Αγορά Τίτλων (ΗΔΑΤ) επικεντρώθηκε σ</w:t>
      </w:r>
      <w:r>
        <w:rPr>
          <w:sz w:val="22"/>
          <w:szCs w:val="22"/>
        </w:rPr>
        <w:t>ε</w:t>
      </w:r>
      <w:r w:rsidRPr="00C81DB9">
        <w:rPr>
          <w:sz w:val="22"/>
          <w:szCs w:val="22"/>
        </w:rPr>
        <w:t xml:space="preserve"> τίτλους </w:t>
      </w:r>
      <w:r>
        <w:rPr>
          <w:sz w:val="22"/>
          <w:szCs w:val="22"/>
        </w:rPr>
        <w:t xml:space="preserve">με διάρκεια </w:t>
      </w:r>
      <w:r w:rsidRPr="00691BF0">
        <w:rPr>
          <w:sz w:val="22"/>
          <w:szCs w:val="22"/>
        </w:rPr>
        <w:t>από 5 έως 10 έτη</w:t>
      </w:r>
      <w:r>
        <w:rPr>
          <w:sz w:val="22"/>
          <w:szCs w:val="22"/>
        </w:rPr>
        <w:t xml:space="preserve">, και </w:t>
      </w:r>
      <w:r>
        <w:rPr>
          <w:sz w:val="22"/>
          <w:szCs w:val="22"/>
        </w:rPr>
        <w:t>α</w:t>
      </w:r>
      <w:r>
        <w:rPr>
          <w:sz w:val="22"/>
          <w:szCs w:val="22"/>
        </w:rPr>
        <w:t xml:space="preserve">κολούθησαν το 23,2% σε μακροπρόθεσμους τίτλους </w:t>
      </w:r>
      <w:r w:rsidRPr="00C81DB9">
        <w:rPr>
          <w:sz w:val="22"/>
          <w:szCs w:val="22"/>
        </w:rPr>
        <w:t xml:space="preserve">με διάρκεια από </w:t>
      </w:r>
      <w:r>
        <w:rPr>
          <w:sz w:val="22"/>
          <w:szCs w:val="22"/>
        </w:rPr>
        <w:t>15</w:t>
      </w:r>
      <w:r w:rsidRPr="00C81DB9">
        <w:rPr>
          <w:sz w:val="22"/>
          <w:szCs w:val="22"/>
        </w:rPr>
        <w:t xml:space="preserve"> έως </w:t>
      </w:r>
      <w:r>
        <w:rPr>
          <w:sz w:val="22"/>
          <w:szCs w:val="22"/>
        </w:rPr>
        <w:t>30</w:t>
      </w:r>
      <w:r w:rsidRPr="00C81DB9">
        <w:rPr>
          <w:sz w:val="22"/>
          <w:szCs w:val="22"/>
        </w:rPr>
        <w:t xml:space="preserve"> έτη, </w:t>
      </w:r>
      <w:r>
        <w:rPr>
          <w:sz w:val="22"/>
          <w:szCs w:val="22"/>
        </w:rPr>
        <w:t>το 12,6% σε τί</w:t>
      </w:r>
      <w:r>
        <w:rPr>
          <w:sz w:val="22"/>
          <w:szCs w:val="22"/>
        </w:rPr>
        <w:t>τ</w:t>
      </w:r>
      <w:r>
        <w:rPr>
          <w:sz w:val="22"/>
          <w:szCs w:val="22"/>
        </w:rPr>
        <w:t xml:space="preserve">λους με διάρκεια </w:t>
      </w:r>
      <w:r w:rsidRPr="00C81DB9">
        <w:rPr>
          <w:sz w:val="22"/>
          <w:szCs w:val="22"/>
        </w:rPr>
        <w:t>από 3 έως 5 έτη</w:t>
      </w:r>
      <w:r>
        <w:rPr>
          <w:sz w:val="22"/>
          <w:szCs w:val="22"/>
        </w:rPr>
        <w:t>,</w:t>
      </w:r>
      <w:r w:rsidRPr="00C81DB9">
        <w:rPr>
          <w:sz w:val="22"/>
          <w:szCs w:val="22"/>
        </w:rPr>
        <w:t xml:space="preserve"> το </w:t>
      </w:r>
      <w:r>
        <w:rPr>
          <w:sz w:val="22"/>
          <w:szCs w:val="22"/>
        </w:rPr>
        <w:t xml:space="preserve">8,4% σε μακροπρόθεσμους τίτλους με διάρκεια από 10 έως 15 έτη, το 2,7% σε τίτλους με διάρκεια έως 3 έτη και το 1,2% σε έντοκα γραμμάτια.  </w:t>
      </w:r>
    </w:p>
    <w:p w:rsidR="009B54E7" w:rsidRDefault="009B54E7" w:rsidP="009B54E7">
      <w:pPr>
        <w:jc w:val="both"/>
        <w:rPr>
          <w:sz w:val="22"/>
          <w:szCs w:val="22"/>
        </w:rPr>
      </w:pPr>
    </w:p>
    <w:p w:rsidR="009B54E7" w:rsidRPr="00C81DB9" w:rsidRDefault="009B54E7" w:rsidP="009B54E7">
      <w:pPr>
        <w:jc w:val="both"/>
        <w:rPr>
          <w:sz w:val="22"/>
          <w:szCs w:val="22"/>
        </w:rPr>
      </w:pPr>
      <w:r w:rsidRPr="00C81DB9">
        <w:rPr>
          <w:sz w:val="22"/>
          <w:szCs w:val="22"/>
        </w:rPr>
        <w:t>Η κατανομή της αξίας των συναλλαγών της ΗΔΑΤ ανάλογα με την εναπομένουσα διάρκεια των τί</w:t>
      </w:r>
      <w:r w:rsidRPr="00C81DB9">
        <w:rPr>
          <w:sz w:val="22"/>
          <w:szCs w:val="22"/>
        </w:rPr>
        <w:t>τ</w:t>
      </w:r>
      <w:r w:rsidRPr="00C81DB9">
        <w:rPr>
          <w:sz w:val="22"/>
          <w:szCs w:val="22"/>
        </w:rPr>
        <w:t>λων, κατά το τρίτο τρίμηνο του 201</w:t>
      </w:r>
      <w:r>
        <w:rPr>
          <w:sz w:val="22"/>
          <w:szCs w:val="22"/>
        </w:rPr>
        <w:t>9</w:t>
      </w:r>
      <w:r w:rsidRPr="00C81DB9">
        <w:rPr>
          <w:sz w:val="22"/>
          <w:szCs w:val="22"/>
        </w:rPr>
        <w:t>, παρουσιάζεται στο διάγραμμα 4.6.</w:t>
      </w:r>
    </w:p>
    <w:p w:rsidR="0041454F" w:rsidRDefault="0041454F">
      <w:pPr>
        <w:rPr>
          <w:rFonts w:ascii="Arial Narrow" w:hAnsi="Arial Narrow"/>
          <w:b/>
          <w:color w:val="FFFFFF"/>
          <w:sz w:val="26"/>
          <w:szCs w:val="26"/>
        </w:rPr>
      </w:pPr>
    </w:p>
    <w:tbl>
      <w:tblPr>
        <w:tblW w:w="90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9070"/>
      </w:tblGrid>
      <w:tr w:rsidR="0041454F" w:rsidRPr="0015043C" w:rsidTr="004B1E21">
        <w:trPr>
          <w:cantSplit/>
        </w:trPr>
        <w:tc>
          <w:tcPr>
            <w:tcW w:w="9070" w:type="dxa"/>
            <w:tcBorders>
              <w:top w:val="nil"/>
              <w:left w:val="nil"/>
              <w:bottom w:val="nil"/>
              <w:right w:val="nil"/>
            </w:tcBorders>
            <w:shd w:val="clear" w:color="auto" w:fill="404040" w:themeFill="text1" w:themeFillTint="BF"/>
            <w:vAlign w:val="center"/>
          </w:tcPr>
          <w:p w:rsidR="0041454F" w:rsidRPr="0015043C" w:rsidRDefault="0041454F" w:rsidP="004B1E21">
            <w:pPr>
              <w:spacing w:before="120"/>
              <w:jc w:val="center"/>
              <w:rPr>
                <w:rFonts w:ascii="Arial Narrow" w:hAnsi="Arial Narrow"/>
                <w:b/>
                <w:color w:val="FFFFFF"/>
              </w:rPr>
            </w:pPr>
            <w:r>
              <w:rPr>
                <w:rFonts w:ascii="Arial Narrow" w:hAnsi="Arial Narrow"/>
                <w:b/>
                <w:color w:val="FFFFFF"/>
              </w:rPr>
              <w:t>Διάγραμμα 4.6</w:t>
            </w:r>
            <w:r w:rsidRPr="0015043C">
              <w:rPr>
                <w:rFonts w:ascii="Arial Narrow" w:hAnsi="Arial Narrow"/>
                <w:b/>
                <w:color w:val="FFFFFF"/>
              </w:rPr>
              <w:t xml:space="preserve">  Αξία συνα</w:t>
            </w:r>
            <w:r>
              <w:rPr>
                <w:rFonts w:ascii="Arial Narrow" w:hAnsi="Arial Narrow"/>
                <w:b/>
                <w:color w:val="FFFFFF"/>
              </w:rPr>
              <w:t>λλαγών στην ΗΔΑΤ γ΄ τρίμηνο 2019</w:t>
            </w:r>
          </w:p>
          <w:p w:rsidR="0041454F" w:rsidRPr="0015043C" w:rsidRDefault="0041454F" w:rsidP="004B1E21">
            <w:pPr>
              <w:spacing w:after="120"/>
              <w:jc w:val="center"/>
              <w:rPr>
                <w:rFonts w:ascii="Arial Narrow" w:hAnsi="Arial Narrow"/>
                <w:b/>
                <w:color w:val="FFFFFF"/>
              </w:rPr>
            </w:pPr>
            <w:r w:rsidRPr="0015043C">
              <w:rPr>
                <w:rFonts w:ascii="Arial Narrow" w:hAnsi="Arial Narrow"/>
                <w:b/>
                <w:color w:val="FFFFFF"/>
              </w:rPr>
              <w:t>(με βάση την εναπομένουσα διάρκεια των τίτλων)</w:t>
            </w:r>
          </w:p>
        </w:tc>
      </w:tr>
      <w:tr w:rsidR="0041454F" w:rsidRPr="0015043C" w:rsidTr="004B1E21">
        <w:tblPrEx>
          <w:tblCellMar>
            <w:left w:w="108" w:type="dxa"/>
            <w:right w:w="108" w:type="dxa"/>
          </w:tblCellMar>
        </w:tblPrEx>
        <w:trPr>
          <w:cantSplit/>
        </w:trPr>
        <w:tc>
          <w:tcPr>
            <w:tcW w:w="9070" w:type="dxa"/>
            <w:tcBorders>
              <w:top w:val="nil"/>
              <w:left w:val="nil"/>
              <w:bottom w:val="nil"/>
              <w:right w:val="nil"/>
            </w:tcBorders>
            <w:shd w:val="clear" w:color="auto" w:fill="auto"/>
            <w:vAlign w:val="center"/>
          </w:tcPr>
          <w:p w:rsidR="0041454F" w:rsidRPr="00EE3A46" w:rsidRDefault="00B761FB" w:rsidP="004B1E21">
            <w:pPr>
              <w:spacing w:before="120"/>
              <w:jc w:val="center"/>
              <w:rPr>
                <w:rFonts w:ascii="Arial Narrow" w:hAnsi="Arial Narrow"/>
                <w:b/>
                <w:color w:val="FFFFFF"/>
              </w:rPr>
            </w:pPr>
            <w:r w:rsidRPr="00B761FB">
              <w:rPr>
                <w:rFonts w:ascii="Arial Narrow" w:hAnsi="Arial Narrow"/>
                <w:b/>
                <w:noProof/>
                <w:color w:val="FFFFFF"/>
              </w:rPr>
              <w:drawing>
                <wp:inline distT="0" distB="0" distL="0" distR="0">
                  <wp:extent cx="4589012" cy="2211572"/>
                  <wp:effectExtent l="0" t="0" r="0" b="0"/>
                  <wp:docPr id="9"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41454F" w:rsidRPr="005C0AFA" w:rsidRDefault="0041454F" w:rsidP="0041454F">
      <w:pPr>
        <w:pStyle w:val="a9"/>
        <w:tabs>
          <w:tab w:val="left" w:pos="9355"/>
        </w:tabs>
        <w:spacing w:after="0"/>
        <w:jc w:val="both"/>
        <w:rPr>
          <w:rFonts w:ascii="Arial Narrow" w:hAnsi="Arial Narrow"/>
          <w:color w:val="000000"/>
          <w:sz w:val="16"/>
          <w:szCs w:val="16"/>
        </w:rPr>
      </w:pPr>
      <w:r w:rsidRPr="005C0AFA">
        <w:rPr>
          <w:rFonts w:ascii="Arial Narrow" w:hAnsi="Arial Narrow"/>
          <w:color w:val="000000"/>
          <w:sz w:val="16"/>
          <w:szCs w:val="16"/>
        </w:rPr>
        <w:t>Πηγή:</w:t>
      </w:r>
      <w:r w:rsidRPr="005C0AFA">
        <w:rPr>
          <w:rFonts w:ascii="Arial Narrow" w:hAnsi="Arial Narrow"/>
          <w:sz w:val="16"/>
          <w:szCs w:val="16"/>
        </w:rPr>
        <w:t xml:space="preserve"> Τράπεζα Ελλάδος, ΗΔΑΤ</w:t>
      </w:r>
    </w:p>
    <w:p w:rsidR="0041454F" w:rsidRDefault="0041454F" w:rsidP="0041454F">
      <w:pPr>
        <w:jc w:val="both"/>
        <w:rPr>
          <w:sz w:val="22"/>
        </w:rPr>
      </w:pPr>
    </w:p>
    <w:p w:rsidR="00B761FB" w:rsidRPr="0093398E" w:rsidRDefault="00B761FB" w:rsidP="00B761FB">
      <w:pPr>
        <w:pStyle w:val="a9"/>
        <w:jc w:val="both"/>
        <w:rPr>
          <w:sz w:val="22"/>
          <w:szCs w:val="22"/>
        </w:rPr>
      </w:pPr>
      <w:r w:rsidRPr="00F5640D">
        <w:rPr>
          <w:sz w:val="22"/>
          <w:szCs w:val="22"/>
        </w:rPr>
        <w:t xml:space="preserve">Το </w:t>
      </w:r>
      <w:r>
        <w:rPr>
          <w:sz w:val="22"/>
          <w:szCs w:val="22"/>
        </w:rPr>
        <w:t>εννεάμηνο του 201</w:t>
      </w:r>
      <w:r w:rsidRPr="00A81B2E">
        <w:rPr>
          <w:sz w:val="22"/>
          <w:szCs w:val="22"/>
        </w:rPr>
        <w:t>9</w:t>
      </w:r>
      <w:r w:rsidRPr="00F5640D">
        <w:rPr>
          <w:sz w:val="22"/>
          <w:szCs w:val="22"/>
        </w:rPr>
        <w:t xml:space="preserve"> η συναλλακτική δραστηριότητα στην Ηλεκτρονική Δευτερογενή Αγορά Τί</w:t>
      </w:r>
      <w:r w:rsidRPr="00F5640D">
        <w:rPr>
          <w:sz w:val="22"/>
          <w:szCs w:val="22"/>
        </w:rPr>
        <w:t>τ</w:t>
      </w:r>
      <w:r w:rsidRPr="00F5640D">
        <w:rPr>
          <w:sz w:val="22"/>
          <w:szCs w:val="22"/>
        </w:rPr>
        <w:t xml:space="preserve">λων (ΗΔΑΤ) </w:t>
      </w:r>
      <w:r>
        <w:rPr>
          <w:sz w:val="22"/>
          <w:szCs w:val="22"/>
        </w:rPr>
        <w:t>κινήθηκε σε αρκετά υψηλότερα επίπεδα σε σχέση με το προηγούμενο έτος</w:t>
      </w:r>
      <w:r w:rsidRPr="00F5640D">
        <w:rPr>
          <w:sz w:val="22"/>
          <w:szCs w:val="22"/>
        </w:rPr>
        <w:t xml:space="preserve">. Η εξέλιξη της αξίας των συναλλαγών που πραγματοποιήθηκε στην ΗΔΑΤ για </w:t>
      </w:r>
      <w:r>
        <w:rPr>
          <w:sz w:val="22"/>
          <w:szCs w:val="22"/>
        </w:rPr>
        <w:t>τα εννεάμηνα των ετών 2018 και 2019,</w:t>
      </w:r>
      <w:r w:rsidRPr="00F5640D">
        <w:rPr>
          <w:sz w:val="22"/>
          <w:szCs w:val="22"/>
        </w:rPr>
        <w:t xml:space="preserve"> ανά μήνα</w:t>
      </w:r>
      <w:r>
        <w:rPr>
          <w:sz w:val="22"/>
          <w:szCs w:val="22"/>
        </w:rPr>
        <w:t>,</w:t>
      </w:r>
      <w:r w:rsidRPr="00F5640D">
        <w:rPr>
          <w:sz w:val="22"/>
          <w:szCs w:val="22"/>
        </w:rPr>
        <w:t xml:space="preserve"> παρουσιάζεται στο διάγραμμα 4.7.</w:t>
      </w:r>
      <w:r w:rsidRPr="0093398E">
        <w:rPr>
          <w:sz w:val="22"/>
          <w:szCs w:val="22"/>
        </w:rPr>
        <w:t xml:space="preserve"> </w:t>
      </w:r>
    </w:p>
    <w:tbl>
      <w:tblPr>
        <w:tblW w:w="9306" w:type="dxa"/>
        <w:tblLook w:val="00A0"/>
      </w:tblPr>
      <w:tblGrid>
        <w:gridCol w:w="9306"/>
      </w:tblGrid>
      <w:tr w:rsidR="00B761FB" w:rsidRPr="0015043C" w:rsidTr="004B1E21">
        <w:trPr>
          <w:trHeight w:val="120"/>
        </w:trPr>
        <w:tc>
          <w:tcPr>
            <w:tcW w:w="9306" w:type="dxa"/>
            <w:shd w:val="clear" w:color="auto" w:fill="404040" w:themeFill="text1" w:themeFillTint="BF"/>
          </w:tcPr>
          <w:p w:rsidR="00B761FB" w:rsidRPr="0015043C" w:rsidRDefault="00B761FB" w:rsidP="004B1E21">
            <w:pPr>
              <w:autoSpaceDE w:val="0"/>
              <w:autoSpaceDN w:val="0"/>
              <w:adjustRightInd w:val="0"/>
              <w:spacing w:before="120"/>
              <w:jc w:val="center"/>
              <w:rPr>
                <w:rFonts w:ascii="Arial Narrow" w:hAnsi="Arial Narrow" w:cs="TimesNewRoman,Bold"/>
                <w:b/>
                <w:bCs/>
                <w:color w:val="FFFFFF"/>
              </w:rPr>
            </w:pPr>
            <w:r w:rsidRPr="0015043C">
              <w:rPr>
                <w:rFonts w:ascii="Arial Narrow" w:hAnsi="Arial Narrow" w:cs="TimesNewRoman,Bold+1"/>
                <w:b/>
                <w:bCs/>
                <w:color w:val="FFFFFF"/>
              </w:rPr>
              <w:t>Διάγρα</w:t>
            </w:r>
            <w:r w:rsidRPr="0015043C">
              <w:rPr>
                <w:rFonts w:ascii="Arial Narrow" w:hAnsi="Arial Narrow" w:cs="TimesNewRoman,Bold"/>
                <w:b/>
                <w:bCs/>
                <w:color w:val="FFFFFF"/>
              </w:rPr>
              <w:t>μμ</w:t>
            </w:r>
            <w:r w:rsidRPr="0015043C">
              <w:rPr>
                <w:rFonts w:ascii="Arial Narrow" w:hAnsi="Arial Narrow" w:cs="TimesNewRoman,Bold+1"/>
                <w:b/>
                <w:bCs/>
                <w:color w:val="FFFFFF"/>
              </w:rPr>
              <w:t xml:space="preserve">α </w:t>
            </w:r>
            <w:r w:rsidR="00E46E13">
              <w:rPr>
                <w:rFonts w:ascii="Arial Narrow" w:hAnsi="Arial Narrow" w:cs="TimesNewRoman,Bold"/>
                <w:b/>
                <w:bCs/>
                <w:color w:val="FFFFFF"/>
              </w:rPr>
              <w:t>4.7</w:t>
            </w:r>
            <w:r>
              <w:rPr>
                <w:rFonts w:ascii="Arial Narrow" w:hAnsi="Arial Narrow" w:cs="TimesNewRoman,Bold"/>
                <w:b/>
                <w:bCs/>
                <w:color w:val="FFFFFF"/>
              </w:rPr>
              <w:t xml:space="preserve"> </w:t>
            </w:r>
            <w:r w:rsidRPr="0015043C">
              <w:rPr>
                <w:rFonts w:ascii="Arial Narrow" w:hAnsi="Arial Narrow" w:cs="TimesNewRoman,Bold"/>
                <w:b/>
                <w:bCs/>
                <w:color w:val="FFFFFF"/>
              </w:rPr>
              <w:t xml:space="preserve"> </w:t>
            </w:r>
            <w:r w:rsidRPr="0015043C">
              <w:rPr>
                <w:rFonts w:ascii="Arial Narrow" w:hAnsi="Arial Narrow" w:cs="TimesNewRoman,Bold+1"/>
                <w:b/>
                <w:bCs/>
                <w:color w:val="FFFFFF"/>
              </w:rPr>
              <w:t>Μηνιαίος όγκος συναλλαγών επί τίτλων του Δη</w:t>
            </w:r>
            <w:r w:rsidRPr="0015043C">
              <w:rPr>
                <w:rFonts w:ascii="Arial Narrow" w:hAnsi="Arial Narrow" w:cs="TimesNewRoman,Bold"/>
                <w:b/>
                <w:bCs/>
                <w:color w:val="FFFFFF"/>
              </w:rPr>
              <w:t>μ</w:t>
            </w:r>
            <w:r w:rsidRPr="0015043C">
              <w:rPr>
                <w:rFonts w:ascii="Arial Narrow" w:hAnsi="Arial Narrow" w:cs="TimesNewRoman,Bold+1"/>
                <w:b/>
                <w:bCs/>
                <w:color w:val="FFFFFF"/>
              </w:rPr>
              <w:t>οσίου στην ΗΔΑΤ</w:t>
            </w:r>
            <w:r w:rsidRPr="0015043C">
              <w:rPr>
                <w:rFonts w:ascii="Arial Narrow" w:hAnsi="Arial Narrow" w:cs="TimesNewRoman,Bold"/>
                <w:b/>
                <w:bCs/>
                <w:color w:val="FFFFFF"/>
              </w:rPr>
              <w:t xml:space="preserve"> </w:t>
            </w:r>
          </w:p>
          <w:p w:rsidR="00B761FB" w:rsidRPr="0015043C" w:rsidRDefault="00B761FB" w:rsidP="004B1E21">
            <w:pPr>
              <w:autoSpaceDE w:val="0"/>
              <w:autoSpaceDN w:val="0"/>
              <w:adjustRightInd w:val="0"/>
              <w:spacing w:after="120"/>
              <w:jc w:val="center"/>
              <w:rPr>
                <w:rFonts w:ascii="Arial Narrow" w:hAnsi="Arial Narrow" w:cs="TimesNewRoman,Bold"/>
                <w:b/>
                <w:bCs/>
                <w:color w:val="FFFFFF"/>
              </w:rPr>
            </w:pPr>
            <w:r w:rsidRPr="0015043C">
              <w:rPr>
                <w:rFonts w:ascii="Arial Narrow" w:hAnsi="Arial Narrow" w:cs="TimesNewRoman,Bold"/>
                <w:b/>
                <w:bCs/>
                <w:color w:val="FFFFFF"/>
              </w:rPr>
              <w:t>(</w:t>
            </w:r>
            <w:r w:rsidRPr="0015043C">
              <w:rPr>
                <w:rFonts w:ascii="Arial Narrow" w:hAnsi="Arial Narrow" w:cs="TimesNewRoman,Bold+1"/>
                <w:b/>
                <w:bCs/>
                <w:color w:val="FFFFFF"/>
              </w:rPr>
              <w:t>σε εκατ</w:t>
            </w:r>
            <w:r w:rsidRPr="0015043C">
              <w:rPr>
                <w:rFonts w:ascii="Arial Narrow" w:hAnsi="Arial Narrow" w:cs="TimesNewRoman,Bold"/>
                <w:b/>
                <w:bCs/>
                <w:color w:val="FFFFFF"/>
              </w:rPr>
              <w:t xml:space="preserve">. </w:t>
            </w:r>
            <w:r w:rsidRPr="0015043C">
              <w:rPr>
                <w:rFonts w:ascii="Arial Narrow" w:hAnsi="Arial Narrow" w:cs="TimesNewRoman,Bold+1"/>
                <w:b/>
                <w:bCs/>
                <w:color w:val="FFFFFF"/>
              </w:rPr>
              <w:t>ευρώ</w:t>
            </w:r>
            <w:r w:rsidRPr="0015043C">
              <w:rPr>
                <w:rFonts w:ascii="Arial Narrow" w:hAnsi="Arial Narrow" w:cs="TimesNewRoman,Bold"/>
                <w:b/>
                <w:bCs/>
                <w:color w:val="FFFFFF"/>
              </w:rPr>
              <w:t>)</w:t>
            </w:r>
          </w:p>
        </w:tc>
      </w:tr>
      <w:tr w:rsidR="00B761FB" w:rsidRPr="0015043C" w:rsidTr="004B1E21">
        <w:trPr>
          <w:trHeight w:val="120"/>
        </w:trPr>
        <w:tc>
          <w:tcPr>
            <w:tcW w:w="9306" w:type="dxa"/>
            <w:shd w:val="clear" w:color="auto" w:fill="auto"/>
          </w:tcPr>
          <w:p w:rsidR="00B761FB" w:rsidRPr="0015043C" w:rsidRDefault="00C61F5D" w:rsidP="004B1E21">
            <w:pPr>
              <w:autoSpaceDE w:val="0"/>
              <w:autoSpaceDN w:val="0"/>
              <w:adjustRightInd w:val="0"/>
              <w:jc w:val="center"/>
              <w:rPr>
                <w:rFonts w:ascii="Arial Narrow" w:hAnsi="Arial Narrow" w:cs="TimesNewRoman,Bold+1"/>
                <w:b/>
                <w:bCs/>
                <w:color w:val="FFFFFF"/>
              </w:rPr>
            </w:pPr>
            <w:r w:rsidRPr="00C61F5D">
              <w:rPr>
                <w:rFonts w:ascii="Arial Narrow" w:hAnsi="Arial Narrow" w:cs="TimesNewRoman,Bold+1"/>
                <w:b/>
                <w:bCs/>
                <w:noProof/>
                <w:color w:val="FFFFFF"/>
              </w:rPr>
              <w:drawing>
                <wp:inline distT="0" distB="0" distL="0" distR="0">
                  <wp:extent cx="5486400" cy="2582545"/>
                  <wp:effectExtent l="0" t="0" r="0" b="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B761FB" w:rsidRPr="005C0AFA" w:rsidRDefault="00B761FB" w:rsidP="00B761FB">
      <w:pPr>
        <w:pStyle w:val="a9"/>
        <w:rPr>
          <w:rFonts w:ascii="Arial Narrow" w:hAnsi="Arial Narrow"/>
          <w:sz w:val="16"/>
          <w:szCs w:val="16"/>
        </w:rPr>
      </w:pPr>
      <w:r w:rsidRPr="005C0AFA">
        <w:rPr>
          <w:rFonts w:ascii="Arial Narrow" w:hAnsi="Arial Narrow"/>
          <w:sz w:val="16"/>
          <w:szCs w:val="16"/>
        </w:rPr>
        <w:t xml:space="preserve"> Πηγή: Τράπεζα Ελλάδος, ΗΔΑΤ</w:t>
      </w:r>
    </w:p>
    <w:p w:rsidR="00B761FB" w:rsidRPr="00E46E13" w:rsidRDefault="00B761FB" w:rsidP="0041454F">
      <w:pPr>
        <w:jc w:val="both"/>
        <w:rPr>
          <w:sz w:val="22"/>
        </w:rPr>
      </w:pPr>
    </w:p>
    <w:p w:rsidR="008D4D46" w:rsidRPr="008D4D46" w:rsidRDefault="008D4D46" w:rsidP="008D4D46">
      <w:pPr>
        <w:pStyle w:val="a9"/>
        <w:jc w:val="both"/>
        <w:rPr>
          <w:sz w:val="22"/>
          <w:szCs w:val="22"/>
        </w:rPr>
      </w:pPr>
      <w:r w:rsidRPr="00E76651">
        <w:rPr>
          <w:sz w:val="22"/>
          <w:szCs w:val="22"/>
        </w:rPr>
        <w:lastRenderedPageBreak/>
        <w:t xml:space="preserve">Η σύνθεση της ομάδας των βασικών διαπραγματευτών αγοράς κατά το τρέχον έτος αποτελείται από </w:t>
      </w:r>
      <w:r>
        <w:rPr>
          <w:sz w:val="22"/>
          <w:szCs w:val="22"/>
        </w:rPr>
        <w:t>4 ελληνικά και 16</w:t>
      </w:r>
      <w:r w:rsidRPr="00E76651">
        <w:rPr>
          <w:sz w:val="22"/>
          <w:szCs w:val="22"/>
        </w:rPr>
        <w:t xml:space="preserve"> διεθνή πιστωτικά ιδ</w:t>
      </w:r>
      <w:r>
        <w:rPr>
          <w:sz w:val="22"/>
          <w:szCs w:val="22"/>
        </w:rPr>
        <w:t>ρύματα.</w:t>
      </w:r>
    </w:p>
    <w:p w:rsidR="008D4D46" w:rsidRPr="008D4D46" w:rsidRDefault="008D4D46" w:rsidP="008D4D46">
      <w:pPr>
        <w:pStyle w:val="a9"/>
        <w:jc w:val="both"/>
        <w:rPr>
          <w:sz w:val="22"/>
          <w:szCs w:val="22"/>
        </w:rPr>
      </w:pPr>
    </w:p>
    <w:p w:rsidR="008D4D46" w:rsidRPr="00841092" w:rsidRDefault="00550B4B" w:rsidP="008D4D46">
      <w:pPr>
        <w:shd w:val="clear" w:color="auto" w:fill="404040" w:themeFill="text1" w:themeFillTint="BF"/>
        <w:jc w:val="both"/>
        <w:rPr>
          <w:rFonts w:ascii="Arial Narrow" w:hAnsi="Arial Narrow"/>
          <w:b/>
          <w:bCs/>
          <w:color w:val="FFFFFF"/>
          <w:sz w:val="26"/>
          <w:szCs w:val="22"/>
        </w:rPr>
      </w:pPr>
      <w:r>
        <w:rPr>
          <w:rFonts w:ascii="Arial Narrow" w:hAnsi="Arial Narrow"/>
          <w:b/>
          <w:bCs/>
          <w:color w:val="FFFFFF"/>
          <w:sz w:val="26"/>
          <w:szCs w:val="22"/>
        </w:rPr>
        <w:t>6</w:t>
      </w:r>
      <w:r w:rsidR="008D4D46" w:rsidRPr="0015043C">
        <w:rPr>
          <w:rFonts w:ascii="Arial Narrow" w:hAnsi="Arial Narrow"/>
          <w:b/>
          <w:bCs/>
          <w:color w:val="FFFFFF"/>
          <w:sz w:val="26"/>
          <w:szCs w:val="22"/>
        </w:rPr>
        <w:t>.</w:t>
      </w:r>
      <w:r w:rsidR="008D4D46" w:rsidRPr="0015043C">
        <w:rPr>
          <w:rFonts w:ascii="Arial Narrow" w:hAnsi="Arial Narrow"/>
          <w:b/>
          <w:bCs/>
          <w:color w:val="FFFFFF"/>
          <w:sz w:val="26"/>
          <w:szCs w:val="22"/>
        </w:rPr>
        <w:tab/>
        <w:t xml:space="preserve">Βασικές κατευθύνσεις δανεισμού και </w:t>
      </w:r>
      <w:r w:rsidR="008D4D46">
        <w:rPr>
          <w:rFonts w:ascii="Arial Narrow" w:hAnsi="Arial Narrow"/>
          <w:b/>
          <w:bCs/>
          <w:color w:val="FFFFFF"/>
          <w:sz w:val="26"/>
          <w:szCs w:val="22"/>
        </w:rPr>
        <w:t>διαχειριστικοί στόχοι έτους 20</w:t>
      </w:r>
      <w:r w:rsidR="008D4D46" w:rsidRPr="00841092">
        <w:rPr>
          <w:rFonts w:ascii="Arial Narrow" w:hAnsi="Arial Narrow"/>
          <w:b/>
          <w:bCs/>
          <w:color w:val="FFFFFF"/>
          <w:sz w:val="26"/>
          <w:szCs w:val="22"/>
        </w:rPr>
        <w:t>20</w:t>
      </w:r>
    </w:p>
    <w:p w:rsidR="008D4D46" w:rsidRDefault="008D4D46" w:rsidP="008D4D46">
      <w:pPr>
        <w:jc w:val="both"/>
        <w:rPr>
          <w:sz w:val="22"/>
          <w:szCs w:val="22"/>
        </w:rPr>
      </w:pPr>
    </w:p>
    <w:p w:rsidR="008D4D46" w:rsidRPr="00841092" w:rsidRDefault="008D4D46" w:rsidP="008D4D46">
      <w:pPr>
        <w:jc w:val="both"/>
        <w:rPr>
          <w:sz w:val="22"/>
          <w:szCs w:val="22"/>
        </w:rPr>
      </w:pPr>
      <w:r w:rsidRPr="00841092">
        <w:rPr>
          <w:sz w:val="22"/>
          <w:szCs w:val="22"/>
        </w:rPr>
        <w:t>Κατά το έτος 2019 συνεχίστηκε η αξιοποίηση και η βέλτιστη διαχείριση του μεγαλύτερου μέρους των ταμειακών διαθεσίμων των φορέων της Γενικής Κυβέρνησης, μέσω της εφαρμογής του προγράμματος πράξεων διαχείρισης ταμειακής ρευστότητας υπό τη μορφή repo agreements που συνάπτει ο ΟΔΔΗΧ, με πολύ αποτελεσματικό τρόπο, παρέχοντας ανταγωνιστικές υψηλές αποδόσεις, επ’ ωφελεία των φ</w:t>
      </w:r>
      <w:r w:rsidRPr="00841092">
        <w:rPr>
          <w:sz w:val="22"/>
          <w:szCs w:val="22"/>
        </w:rPr>
        <w:t>ο</w:t>
      </w:r>
      <w:r w:rsidRPr="00841092">
        <w:rPr>
          <w:sz w:val="22"/>
          <w:szCs w:val="22"/>
        </w:rPr>
        <w:t>ρέων, διασφαλίζοντας ταυτόχρονα αντίστοιχο όφελος ως προς το δημοσιονομικό αποτέλεσμα της Γ</w:t>
      </w:r>
      <w:r w:rsidRPr="00841092">
        <w:rPr>
          <w:sz w:val="22"/>
          <w:szCs w:val="22"/>
        </w:rPr>
        <w:t>ε</w:t>
      </w:r>
      <w:r w:rsidRPr="00841092">
        <w:rPr>
          <w:sz w:val="22"/>
          <w:szCs w:val="22"/>
        </w:rPr>
        <w:t xml:space="preserve">νικής Κυβέρνησης, με σωρευτικά θετικές επιπτώσεις για τη βιωσιμότητα του δημοσίου χρέους. </w:t>
      </w:r>
    </w:p>
    <w:p w:rsidR="008D4D46" w:rsidRPr="00841092" w:rsidRDefault="008D4D46" w:rsidP="008D4D46">
      <w:pPr>
        <w:jc w:val="both"/>
        <w:rPr>
          <w:sz w:val="22"/>
          <w:szCs w:val="22"/>
        </w:rPr>
      </w:pPr>
    </w:p>
    <w:p w:rsidR="008D4D46" w:rsidRPr="00841092" w:rsidRDefault="008D4D46" w:rsidP="008D4D46">
      <w:pPr>
        <w:jc w:val="both"/>
        <w:rPr>
          <w:sz w:val="22"/>
          <w:szCs w:val="22"/>
        </w:rPr>
      </w:pPr>
      <w:r w:rsidRPr="00841092">
        <w:rPr>
          <w:sz w:val="22"/>
          <w:szCs w:val="22"/>
        </w:rPr>
        <w:t>Η βραχυπρόθεσμη χρηματοδότηση του Ελληνικού Δημοσίου για όλο το έτος 2019 συνεχίστηκε να υλοποιείται και μέσω εκδόσεων εντόκων γραμματίων, διάρκειας 13, 26 και 52 εβδομάδων, εξασφαλ</w:t>
      </w:r>
      <w:r w:rsidRPr="00841092">
        <w:rPr>
          <w:sz w:val="22"/>
          <w:szCs w:val="22"/>
        </w:rPr>
        <w:t>ί</w:t>
      </w:r>
      <w:r w:rsidRPr="00841092">
        <w:rPr>
          <w:sz w:val="22"/>
          <w:szCs w:val="22"/>
        </w:rPr>
        <w:t>ζοντας συνεχή εκδοτική παρουσία σε όλο το βραχυχρόνιο τμήμα της καμπύλης αποδόσεων, ολοκλ</w:t>
      </w:r>
      <w:r w:rsidRPr="00841092">
        <w:rPr>
          <w:sz w:val="22"/>
          <w:szCs w:val="22"/>
        </w:rPr>
        <w:t>η</w:t>
      </w:r>
      <w:r w:rsidRPr="00841092">
        <w:rPr>
          <w:sz w:val="22"/>
          <w:szCs w:val="22"/>
        </w:rPr>
        <w:t>ρώνοντας την επέκταση της μέσης σταθμικής ωρίμανσης του βραχυχρόνιου δανεισμού και τον περα</w:t>
      </w:r>
      <w:r w:rsidRPr="00841092">
        <w:rPr>
          <w:sz w:val="22"/>
          <w:szCs w:val="22"/>
        </w:rPr>
        <w:t>ι</w:t>
      </w:r>
      <w:r w:rsidRPr="00841092">
        <w:rPr>
          <w:sz w:val="22"/>
          <w:szCs w:val="22"/>
        </w:rPr>
        <w:t>τέρω περιορισμό του κινδύνου αναχρηματοδότησης.</w:t>
      </w:r>
    </w:p>
    <w:p w:rsidR="008D4D46" w:rsidRPr="00841092" w:rsidRDefault="008D4D46" w:rsidP="008D4D46">
      <w:pPr>
        <w:jc w:val="both"/>
        <w:rPr>
          <w:sz w:val="22"/>
          <w:szCs w:val="22"/>
        </w:rPr>
      </w:pPr>
    </w:p>
    <w:p w:rsidR="00360E54" w:rsidRDefault="008D4D46" w:rsidP="008D4D46">
      <w:pPr>
        <w:jc w:val="both"/>
        <w:rPr>
          <w:sz w:val="22"/>
          <w:szCs w:val="22"/>
        </w:rPr>
      </w:pPr>
      <w:r w:rsidRPr="00841092">
        <w:rPr>
          <w:sz w:val="22"/>
          <w:szCs w:val="22"/>
        </w:rPr>
        <w:t xml:space="preserve">Το σύνολο των μικτών χρηματοδοτικών αναγκών του Ελληνικού Δημοσίου για το 2019 καλύφθηκε πλήρως, για πρώτη φορά μετά το 2009, από κοινοπρακτικές εκδόσεις ομολόγων σταθερού επιτοκίου, πενταετούς, δεκαετούς και επταετούς διάρκειας, συνολικού ύψους </w:t>
      </w:r>
      <w:r>
        <w:rPr>
          <w:sz w:val="22"/>
          <w:szCs w:val="22"/>
        </w:rPr>
        <w:t>9</w:t>
      </w:r>
      <w:r w:rsidRPr="00841092">
        <w:rPr>
          <w:sz w:val="22"/>
          <w:szCs w:val="22"/>
        </w:rPr>
        <w:t>.</w:t>
      </w:r>
      <w:r>
        <w:rPr>
          <w:sz w:val="22"/>
          <w:szCs w:val="22"/>
        </w:rPr>
        <w:t>0</w:t>
      </w:r>
      <w:r w:rsidRPr="00841092">
        <w:rPr>
          <w:sz w:val="22"/>
          <w:szCs w:val="22"/>
        </w:rPr>
        <w:t xml:space="preserve">00 εκατ. ευρώ, υλοποιώντας </w:t>
      </w:r>
      <w:r w:rsidR="006616D1">
        <w:rPr>
          <w:sz w:val="22"/>
          <w:szCs w:val="22"/>
        </w:rPr>
        <w:t>εξ ολοκλήρου</w:t>
      </w:r>
      <w:r w:rsidRPr="00841092">
        <w:rPr>
          <w:sz w:val="22"/>
          <w:szCs w:val="22"/>
        </w:rPr>
        <w:t xml:space="preserve"> το εγκεκριμένο δανειακό πρόγραμμα του έτους, καλύπτοντας συγχρόνως τα κενά ληκτ</w:t>
      </w:r>
      <w:r w:rsidRPr="00841092">
        <w:rPr>
          <w:sz w:val="22"/>
          <w:szCs w:val="22"/>
        </w:rPr>
        <w:t>ό</w:t>
      </w:r>
      <w:r w:rsidRPr="00841092">
        <w:rPr>
          <w:sz w:val="22"/>
          <w:szCs w:val="22"/>
        </w:rPr>
        <w:t>τητας της καμπύλης αποδόσεων, με επαρκούς ρευστότητας ομολογιακές εκδόσεις αναφοράς (benchmark issues), διασφαλίζοντας περαιτέρω μείωση</w:t>
      </w:r>
      <w:r w:rsidR="007E5034">
        <w:rPr>
          <w:sz w:val="22"/>
          <w:szCs w:val="22"/>
        </w:rPr>
        <w:t xml:space="preserve"> </w:t>
      </w:r>
      <w:r w:rsidRPr="00841092">
        <w:rPr>
          <w:sz w:val="22"/>
          <w:szCs w:val="22"/>
        </w:rPr>
        <w:t>των περιθωρίων (spreads) δανεισμού του ΕΔ.</w:t>
      </w:r>
    </w:p>
    <w:p w:rsidR="00360E54" w:rsidRDefault="00360E54" w:rsidP="008D4D46">
      <w:pPr>
        <w:jc w:val="both"/>
        <w:rPr>
          <w:sz w:val="22"/>
          <w:szCs w:val="22"/>
        </w:rPr>
      </w:pPr>
    </w:p>
    <w:p w:rsidR="008D4D46" w:rsidRPr="00841092" w:rsidRDefault="00360E54" w:rsidP="008D4D46">
      <w:pPr>
        <w:jc w:val="both"/>
        <w:rPr>
          <w:sz w:val="22"/>
          <w:szCs w:val="22"/>
        </w:rPr>
      </w:pPr>
      <w:r>
        <w:rPr>
          <w:sz w:val="22"/>
          <w:szCs w:val="22"/>
        </w:rPr>
        <w:t>Παράλληλα, σημαντικό μέρος της στρατηγικής αποτέλεσε η απόφαση πληρωμής των δανείων προς το ΔΝΤ</w:t>
      </w:r>
      <w:r w:rsidR="007E5034">
        <w:rPr>
          <w:sz w:val="22"/>
          <w:szCs w:val="22"/>
        </w:rPr>
        <w:t xml:space="preserve"> </w:t>
      </w:r>
      <w:r>
        <w:rPr>
          <w:sz w:val="22"/>
          <w:szCs w:val="22"/>
        </w:rPr>
        <w:t xml:space="preserve">με το υψηλότερο επιτόκιο, ύψους 2,8 δισ. ευρώ περίπου, κάτι που θα βελτιώσει σημαντικά τη διάρθρωση του δημόσιου χρέους. </w:t>
      </w:r>
    </w:p>
    <w:p w:rsidR="008D4D46" w:rsidRPr="00841092" w:rsidRDefault="008D4D46" w:rsidP="008D4D46">
      <w:pPr>
        <w:jc w:val="both"/>
        <w:rPr>
          <w:sz w:val="22"/>
          <w:szCs w:val="22"/>
        </w:rPr>
      </w:pPr>
    </w:p>
    <w:p w:rsidR="008D4D46" w:rsidRPr="00841092" w:rsidRDefault="008D4D46" w:rsidP="008D4D46">
      <w:pPr>
        <w:jc w:val="both"/>
        <w:rPr>
          <w:sz w:val="22"/>
          <w:szCs w:val="22"/>
        </w:rPr>
      </w:pPr>
      <w:r w:rsidRPr="00841092">
        <w:rPr>
          <w:sz w:val="22"/>
          <w:szCs w:val="22"/>
        </w:rPr>
        <w:t>Δεδομένων των υψηλών ταμειακών διαθεσίμων του ΕΔ, τα οποία θα διατηρηθούν σε σχετικά υψηλά επίπεδα έως την επίτευξη αξιόχρεου σε επίπεδο επενδυτικής βαθμίδας, καθώς και των σχετικά περι</w:t>
      </w:r>
      <w:r w:rsidRPr="00841092">
        <w:rPr>
          <w:sz w:val="22"/>
          <w:szCs w:val="22"/>
        </w:rPr>
        <w:t>ο</w:t>
      </w:r>
      <w:r w:rsidRPr="00841092">
        <w:rPr>
          <w:sz w:val="22"/>
          <w:szCs w:val="22"/>
        </w:rPr>
        <w:t xml:space="preserve">ρισμένων χρηματοδοτικών αναγκών του για το έτος 2020, η δανειακή στρατηγική για το επόμενο έτος αναμένεται να είναι </w:t>
      </w:r>
      <w:r w:rsidR="00360E54">
        <w:rPr>
          <w:sz w:val="22"/>
          <w:szCs w:val="22"/>
        </w:rPr>
        <w:t>συγκρατημένη και στοχευμένη στην περαιτέρω βελτίωση της εμπιστοσύνης της επενδυτικής κοινότητας</w:t>
      </w:r>
      <w:r w:rsidRPr="00841092">
        <w:rPr>
          <w:sz w:val="22"/>
          <w:szCs w:val="22"/>
        </w:rPr>
        <w:t>. Συγκεκριμένα, η στόχευση της δανειακής στρατηγικής θα είναι η διασφάλιση της συνεχούς εκδοτικής παρουσίας του ΕΔ στις διεθνείς αγορές κεφαλαίων, η παροχή εκδόσεων υψ</w:t>
      </w:r>
      <w:r w:rsidRPr="00841092">
        <w:rPr>
          <w:sz w:val="22"/>
          <w:szCs w:val="22"/>
        </w:rPr>
        <w:t>η</w:t>
      </w:r>
      <w:r w:rsidRPr="00841092">
        <w:rPr>
          <w:sz w:val="22"/>
          <w:szCs w:val="22"/>
        </w:rPr>
        <w:t>λής ρευστότητας για τη διατήρηση μιας αξιόπιστης καμπύλης αποδόσεων ελληνικών κρατικών χρε</w:t>
      </w:r>
      <w:r w:rsidRPr="00841092">
        <w:rPr>
          <w:sz w:val="22"/>
          <w:szCs w:val="22"/>
        </w:rPr>
        <w:t>ο</w:t>
      </w:r>
      <w:r w:rsidRPr="00841092">
        <w:rPr>
          <w:sz w:val="22"/>
          <w:szCs w:val="22"/>
        </w:rPr>
        <w:t xml:space="preserve">γράφων, η περαιτέρω μείωση των περιθωρίων δανεισμού του ΕΔ, καθώς και η περαιτέρω διασφάλιση της συνέπειας του ΕΔ ως κρατικού εκδότη με χαρακτηριστικά χώρας της ευρωζώνης, η περαιτέρω </w:t>
      </w:r>
      <w:r w:rsidRPr="00841092">
        <w:rPr>
          <w:sz w:val="22"/>
          <w:szCs w:val="22"/>
        </w:rPr>
        <w:t>ε</w:t>
      </w:r>
      <w:r w:rsidRPr="00841092">
        <w:rPr>
          <w:sz w:val="22"/>
          <w:szCs w:val="22"/>
        </w:rPr>
        <w:t>νίσχυση της εμπιστοσύνης των διεθνών οίκων αξιολόγησης αλλά και της εμπιστοσύνης της διεθνούς επενδυτικής κοινότητας, με έμφαση στην περαιτέρω διεύρυνση της επενδυτικής βάσης προς εκείνο το τμήμα που διατηρεί χαρακτηριστικά τελικού επενδυτή.</w:t>
      </w:r>
    </w:p>
    <w:p w:rsidR="008D4D46" w:rsidRPr="00841092" w:rsidRDefault="008D4D46" w:rsidP="008D4D46">
      <w:pPr>
        <w:jc w:val="both"/>
        <w:rPr>
          <w:sz w:val="22"/>
          <w:szCs w:val="22"/>
        </w:rPr>
      </w:pPr>
    </w:p>
    <w:p w:rsidR="008D4D46" w:rsidRPr="00841092" w:rsidRDefault="008D4D46" w:rsidP="008D4D46">
      <w:pPr>
        <w:jc w:val="both"/>
        <w:rPr>
          <w:sz w:val="22"/>
          <w:szCs w:val="22"/>
        </w:rPr>
      </w:pPr>
      <w:r w:rsidRPr="00841092">
        <w:rPr>
          <w:sz w:val="22"/>
          <w:szCs w:val="22"/>
        </w:rPr>
        <w:t xml:space="preserve">Για την επίτευξη των παραπάνω στόχων, θα επιδιωχθεί, στο πλαίσιο λειτουργίας της πρωτογενούς </w:t>
      </w:r>
      <w:r w:rsidRPr="00841092">
        <w:rPr>
          <w:sz w:val="22"/>
          <w:szCs w:val="22"/>
        </w:rPr>
        <w:t>α</w:t>
      </w:r>
      <w:r w:rsidRPr="00841092">
        <w:rPr>
          <w:sz w:val="22"/>
          <w:szCs w:val="22"/>
        </w:rPr>
        <w:t>γοράς, πλέον της εκδοτικής δραστηριότητας, να εφαρμοστεί πολιτική διαχείρισης χαρτοφυλακίου μ</w:t>
      </w:r>
      <w:r w:rsidRPr="00841092">
        <w:rPr>
          <w:sz w:val="22"/>
          <w:szCs w:val="22"/>
        </w:rPr>
        <w:t>έ</w:t>
      </w:r>
      <w:r w:rsidRPr="00841092">
        <w:rPr>
          <w:sz w:val="22"/>
          <w:szCs w:val="22"/>
        </w:rPr>
        <w:t>σω της οποίας θα διασφαλίζεται ο αναγκαίος χώρος για τη συνεχή παρουσία του ΕΔ στις αγορές, η περαιτέρω μείωση του κινδύνου αναχρηματοδότησης, η παροχή της αναγκαίας ρευστότητας και η βελτίωση της λειτουργίας της δευτερογενούς αγοράς των ελληνικών ομολόγων, με ταυτόχρονη αξι</w:t>
      </w:r>
      <w:r w:rsidRPr="00841092">
        <w:rPr>
          <w:sz w:val="22"/>
          <w:szCs w:val="22"/>
        </w:rPr>
        <w:t>ο</w:t>
      </w:r>
      <w:r w:rsidRPr="00841092">
        <w:rPr>
          <w:sz w:val="22"/>
          <w:szCs w:val="22"/>
        </w:rPr>
        <w:t>ποίηση της εκάστοτε κλίσης της ελληνικής καμπύλης αποδόσεων για τη διασφάλιση βέλτιστου απ</w:t>
      </w:r>
      <w:r w:rsidRPr="00841092">
        <w:rPr>
          <w:sz w:val="22"/>
          <w:szCs w:val="22"/>
        </w:rPr>
        <w:t>ο</w:t>
      </w:r>
      <w:r w:rsidRPr="00841092">
        <w:rPr>
          <w:sz w:val="22"/>
          <w:szCs w:val="22"/>
        </w:rPr>
        <w:t xml:space="preserve">τελέσματος αναφορικά με το κόστος δανεισμού. </w:t>
      </w:r>
    </w:p>
    <w:p w:rsidR="008D4D46" w:rsidRPr="00841092" w:rsidRDefault="008D4D46" w:rsidP="008D4D46">
      <w:pPr>
        <w:jc w:val="both"/>
        <w:rPr>
          <w:sz w:val="22"/>
          <w:szCs w:val="22"/>
        </w:rPr>
      </w:pPr>
    </w:p>
    <w:p w:rsidR="008D4D46" w:rsidRDefault="008D4D46" w:rsidP="008D4D46">
      <w:pPr>
        <w:jc w:val="both"/>
        <w:rPr>
          <w:sz w:val="22"/>
          <w:szCs w:val="22"/>
        </w:rPr>
      </w:pPr>
      <w:r w:rsidRPr="00841092">
        <w:rPr>
          <w:sz w:val="22"/>
          <w:szCs w:val="22"/>
        </w:rPr>
        <w:t>Κατά το επόμενο έτος, θα διατηρηθούν οι βασικοί μεσοπρόθεσμοι στόχοι διαχείρισης του χαρτοφ</w:t>
      </w:r>
      <w:r w:rsidRPr="00841092">
        <w:rPr>
          <w:sz w:val="22"/>
          <w:szCs w:val="22"/>
        </w:rPr>
        <w:t>υ</w:t>
      </w:r>
      <w:r w:rsidRPr="00841092">
        <w:rPr>
          <w:sz w:val="22"/>
          <w:szCs w:val="22"/>
        </w:rPr>
        <w:t>λακίου δημοσίου χρέους, όπως είναι η διατήρηση του συναλλαγματικού κινδύνου στα σημερινά ελ</w:t>
      </w:r>
      <w:r w:rsidRPr="00841092">
        <w:rPr>
          <w:sz w:val="22"/>
          <w:szCs w:val="22"/>
        </w:rPr>
        <w:t>ά</w:t>
      </w:r>
      <w:r w:rsidRPr="00841092">
        <w:rPr>
          <w:sz w:val="22"/>
          <w:szCs w:val="22"/>
        </w:rPr>
        <w:t>χιστα επίπεδα για τα δάνεια εκτός ευρώ και η περαιτέρω βελτίωση της αναλογίας χρέους σταθερού επιτοκίου στο σύνολο του χαρτοφυλακίου.</w:t>
      </w:r>
    </w:p>
    <w:p w:rsidR="008866E1" w:rsidRDefault="008866E1" w:rsidP="008866E1">
      <w:pPr>
        <w:jc w:val="both"/>
        <w:rPr>
          <w:rFonts w:ascii="Arial Narrow" w:hAnsi="Arial Narrow"/>
          <w:b/>
          <w:color w:val="FFFFFF"/>
          <w:sz w:val="26"/>
          <w:szCs w:val="26"/>
        </w:rPr>
      </w:pPr>
    </w:p>
    <w:p w:rsidR="00BA1AB3" w:rsidRPr="009367DF" w:rsidRDefault="00BA1AB3" w:rsidP="00BA1AB3">
      <w:pPr>
        <w:shd w:val="clear" w:color="auto" w:fill="595959"/>
        <w:jc w:val="both"/>
        <w:rPr>
          <w:rFonts w:ascii="Arial Narrow" w:hAnsi="Arial Narrow"/>
          <w:b/>
          <w:color w:val="FFFFFF"/>
          <w:sz w:val="26"/>
          <w:szCs w:val="26"/>
        </w:rPr>
      </w:pPr>
      <w:r w:rsidRPr="009367DF">
        <w:rPr>
          <w:rFonts w:ascii="Arial Narrow" w:hAnsi="Arial Narrow"/>
          <w:b/>
          <w:color w:val="FFFFFF"/>
          <w:sz w:val="26"/>
          <w:szCs w:val="26"/>
        </w:rPr>
        <w:t xml:space="preserve">ΕΓΓΥΗΣΕΙΣ </w:t>
      </w:r>
    </w:p>
    <w:p w:rsidR="00BA1AB3" w:rsidRPr="009367DF" w:rsidRDefault="00BA1AB3" w:rsidP="00BA1AB3">
      <w:pPr>
        <w:jc w:val="both"/>
        <w:rPr>
          <w:sz w:val="22"/>
          <w:szCs w:val="22"/>
        </w:rPr>
      </w:pPr>
    </w:p>
    <w:p w:rsidR="00CA3A0E" w:rsidRPr="008E47AA" w:rsidRDefault="00CA3A0E" w:rsidP="00CA3A0E">
      <w:pPr>
        <w:jc w:val="both"/>
        <w:rPr>
          <w:sz w:val="22"/>
          <w:szCs w:val="22"/>
        </w:rPr>
      </w:pPr>
      <w:r w:rsidRPr="00B25C8A">
        <w:rPr>
          <w:sz w:val="22"/>
          <w:szCs w:val="22"/>
        </w:rPr>
        <w:t>Η χορήγηση εγγυήσεων από το Ελληνικό Δημόσιο αποτελεί εργαλείο στην άσκηση οικονομικής πολ</w:t>
      </w:r>
      <w:r w:rsidRPr="00B25C8A">
        <w:rPr>
          <w:sz w:val="22"/>
          <w:szCs w:val="22"/>
        </w:rPr>
        <w:t>ι</w:t>
      </w:r>
      <w:r w:rsidRPr="00B25C8A">
        <w:rPr>
          <w:sz w:val="22"/>
          <w:szCs w:val="22"/>
        </w:rPr>
        <w:t>τικής, το οποίο έχει χρησιμοποιηθεί για τη χρηματοδότηση δημόσιων και ιδιωτικών φορέων, διευκ</w:t>
      </w:r>
      <w:r w:rsidRPr="00B25C8A">
        <w:rPr>
          <w:sz w:val="22"/>
          <w:szCs w:val="22"/>
        </w:rPr>
        <w:t>ο</w:t>
      </w:r>
      <w:r w:rsidRPr="00B25C8A">
        <w:rPr>
          <w:sz w:val="22"/>
          <w:szCs w:val="22"/>
        </w:rPr>
        <w:t>λύνοντας την άντληση ρευστότητας.</w:t>
      </w:r>
      <w:r w:rsidR="008E47AA" w:rsidRPr="008E47AA">
        <w:rPr>
          <w:sz w:val="22"/>
          <w:szCs w:val="22"/>
        </w:rPr>
        <w:t xml:space="preserve"> </w:t>
      </w:r>
      <w:r w:rsidR="008E47AA">
        <w:rPr>
          <w:sz w:val="22"/>
          <w:szCs w:val="22"/>
        </w:rPr>
        <w:t>Ωστόσο, η εκτεταμένη χρήση αυτού του εργαλείου κατά τα π</w:t>
      </w:r>
      <w:r w:rsidR="008E47AA">
        <w:rPr>
          <w:sz w:val="22"/>
          <w:szCs w:val="22"/>
        </w:rPr>
        <w:t>α</w:t>
      </w:r>
      <w:r w:rsidR="008E47AA">
        <w:rPr>
          <w:sz w:val="22"/>
          <w:szCs w:val="22"/>
        </w:rPr>
        <w:t>ρελθόντα έτη, σε συνδυασμό με την κρίση της Ελληνικής οικονομίας οδήγησε σε σημαντική αύξηση των καταπτώσεων δανείων που είχαν δοθεί με κρατική εγγύηση, πρόβλημα που δεν αντιμετωπίστηκε από τις προηγούμενες κυβερνήσεις και έχει λάβει σημαντικές διαστάσεις. Είναι ενδεικτικό ότι σήμερα εκκρεμούν περισσότερα από 700 χιλιάδες αιτήματα καταπτώσεων δανείων με κρατική εγγύηση προς το Ελληνικό Δημόσιο από τις τράπεζες.</w:t>
      </w:r>
    </w:p>
    <w:p w:rsidR="00CA3A0E" w:rsidRPr="00B25C8A" w:rsidRDefault="00CA3A0E" w:rsidP="00CA3A0E">
      <w:pPr>
        <w:jc w:val="both"/>
        <w:rPr>
          <w:sz w:val="22"/>
          <w:szCs w:val="22"/>
        </w:rPr>
      </w:pPr>
    </w:p>
    <w:p w:rsidR="00CA3A0E" w:rsidRPr="00B25C8A" w:rsidRDefault="00CA3A0E" w:rsidP="00CA3A0E">
      <w:pPr>
        <w:jc w:val="both"/>
        <w:rPr>
          <w:sz w:val="22"/>
          <w:szCs w:val="22"/>
        </w:rPr>
      </w:pPr>
      <w:r w:rsidRPr="00B25C8A">
        <w:rPr>
          <w:sz w:val="22"/>
          <w:szCs w:val="22"/>
        </w:rPr>
        <w:t>Το Ελληνικό Δημόσιο οφείλει να παρέχει την εγγύησή του σύμφωνα με διαφανή και αντικειμενικά κριτήρια, όπως προβλέπονται στον ν.4549/2018 (άρθρα 91-108) και στην ευρωπαϊκή νομοθεσία περί κρατικών ενισχύσεων (άρθρα 107-108 της ΣΛΕΕ).</w:t>
      </w:r>
    </w:p>
    <w:p w:rsidR="00CA3A0E" w:rsidRPr="00B25C8A" w:rsidRDefault="00CA3A0E" w:rsidP="00CA3A0E">
      <w:pPr>
        <w:jc w:val="both"/>
        <w:rPr>
          <w:sz w:val="22"/>
          <w:szCs w:val="22"/>
        </w:rPr>
      </w:pPr>
    </w:p>
    <w:p w:rsidR="00CA3A0E" w:rsidRPr="00555B85" w:rsidRDefault="00555B85" w:rsidP="00CA3A0E">
      <w:pPr>
        <w:jc w:val="both"/>
        <w:rPr>
          <w:sz w:val="22"/>
          <w:szCs w:val="22"/>
        </w:rPr>
      </w:pPr>
      <w:r>
        <w:rPr>
          <w:sz w:val="22"/>
          <w:szCs w:val="22"/>
        </w:rPr>
        <w:t xml:space="preserve">Οι κρατικές εγγυήσεις παρέχονται πλέον με αυστηρότητα και φειδώ. Στο πλαίσιο αυτό το </w:t>
      </w:r>
      <w:r w:rsidR="00CA3A0E" w:rsidRPr="00B25C8A">
        <w:rPr>
          <w:sz w:val="22"/>
          <w:szCs w:val="22"/>
        </w:rPr>
        <w:t>2019 παρ</w:t>
      </w:r>
      <w:r w:rsidR="00CA3A0E" w:rsidRPr="00B25C8A">
        <w:rPr>
          <w:sz w:val="22"/>
          <w:szCs w:val="22"/>
        </w:rPr>
        <w:t>α</w:t>
      </w:r>
      <w:r w:rsidR="00CA3A0E" w:rsidRPr="00B25C8A">
        <w:rPr>
          <w:sz w:val="22"/>
          <w:szCs w:val="22"/>
        </w:rPr>
        <w:t>σχέθηκαν κρατικές εγγυήσεις:</w:t>
      </w:r>
    </w:p>
    <w:p w:rsidR="00CA3A0E" w:rsidRPr="00555B85" w:rsidRDefault="00CA3A0E" w:rsidP="00CA3A0E">
      <w:pPr>
        <w:jc w:val="both"/>
        <w:rPr>
          <w:sz w:val="22"/>
          <w:szCs w:val="22"/>
        </w:rPr>
      </w:pPr>
    </w:p>
    <w:p w:rsidR="00CA3A0E" w:rsidRPr="00B25C8A" w:rsidRDefault="00CA3A0E" w:rsidP="00893F7B">
      <w:pPr>
        <w:numPr>
          <w:ilvl w:val="0"/>
          <w:numId w:val="2"/>
        </w:numPr>
        <w:ind w:left="284" w:hanging="284"/>
        <w:jc w:val="both"/>
        <w:rPr>
          <w:b/>
          <w:color w:val="000000"/>
          <w:sz w:val="22"/>
          <w:szCs w:val="22"/>
        </w:rPr>
      </w:pPr>
      <w:r w:rsidRPr="00B25C8A">
        <w:rPr>
          <w:sz w:val="22"/>
          <w:szCs w:val="22"/>
        </w:rPr>
        <w:t>Για την αποκατάσταση ζημιών προερχόμενων από φυσικές καταστροφές ή άλλα έκτακτα γεγον</w:t>
      </w:r>
      <w:r w:rsidRPr="00B25C8A">
        <w:rPr>
          <w:sz w:val="22"/>
          <w:szCs w:val="22"/>
        </w:rPr>
        <w:t>ό</w:t>
      </w:r>
      <w:r w:rsidRPr="00B25C8A">
        <w:rPr>
          <w:sz w:val="22"/>
          <w:szCs w:val="22"/>
        </w:rPr>
        <w:t>τα.</w:t>
      </w:r>
    </w:p>
    <w:p w:rsidR="00CA3A0E" w:rsidRPr="00B25C8A" w:rsidRDefault="00CA3A0E" w:rsidP="00893F7B">
      <w:pPr>
        <w:numPr>
          <w:ilvl w:val="0"/>
          <w:numId w:val="2"/>
        </w:numPr>
        <w:ind w:left="284" w:hanging="284"/>
        <w:jc w:val="both"/>
        <w:rPr>
          <w:color w:val="000000"/>
          <w:sz w:val="22"/>
          <w:szCs w:val="22"/>
        </w:rPr>
      </w:pPr>
      <w:r w:rsidRPr="00B25C8A">
        <w:rPr>
          <w:color w:val="000000"/>
          <w:sz w:val="22"/>
          <w:szCs w:val="22"/>
        </w:rPr>
        <w:t>Στο πλαίσιο των διατάξεων του ν.3723/2008, που αφορούν την παροχή εγγυήσεων για τη ρευστ</w:t>
      </w:r>
      <w:r w:rsidRPr="00B25C8A">
        <w:rPr>
          <w:color w:val="000000"/>
          <w:sz w:val="22"/>
          <w:szCs w:val="22"/>
        </w:rPr>
        <w:t>ό</w:t>
      </w:r>
      <w:r w:rsidRPr="00B25C8A">
        <w:rPr>
          <w:color w:val="000000"/>
          <w:sz w:val="22"/>
          <w:szCs w:val="22"/>
        </w:rPr>
        <w:t>τητα των τραπεζών.</w:t>
      </w:r>
    </w:p>
    <w:p w:rsidR="00CA3A0E" w:rsidRPr="00B25C8A" w:rsidRDefault="00CA3A0E" w:rsidP="00893F7B">
      <w:pPr>
        <w:numPr>
          <w:ilvl w:val="0"/>
          <w:numId w:val="2"/>
        </w:numPr>
        <w:ind w:left="284" w:hanging="284"/>
        <w:jc w:val="both"/>
        <w:rPr>
          <w:color w:val="000000"/>
          <w:sz w:val="22"/>
          <w:szCs w:val="22"/>
        </w:rPr>
      </w:pPr>
      <w:r w:rsidRPr="00B25C8A">
        <w:rPr>
          <w:color w:val="000000"/>
          <w:sz w:val="22"/>
          <w:szCs w:val="22"/>
        </w:rPr>
        <w:t>Σε ευρωπαϊκούς ή διεθνείς χρηματοπιστωτικούς οργανισμούς για δάνεια που χορηγούν σε δημόσ</w:t>
      </w:r>
      <w:r w:rsidRPr="00B25C8A">
        <w:rPr>
          <w:color w:val="000000"/>
          <w:sz w:val="22"/>
          <w:szCs w:val="22"/>
        </w:rPr>
        <w:t>ι</w:t>
      </w:r>
      <w:r w:rsidRPr="00B25C8A">
        <w:rPr>
          <w:color w:val="000000"/>
          <w:sz w:val="22"/>
          <w:szCs w:val="22"/>
        </w:rPr>
        <w:t>ες επιχειρήσεις και οργανισμούς, καθώς και σε πιστωτικά ιδρύματα, αποκλειστικά για επενδυτ</w:t>
      </w:r>
      <w:r w:rsidRPr="00B25C8A">
        <w:rPr>
          <w:color w:val="000000"/>
          <w:sz w:val="22"/>
          <w:szCs w:val="22"/>
        </w:rPr>
        <w:t>ι</w:t>
      </w:r>
      <w:r w:rsidRPr="00B25C8A">
        <w:rPr>
          <w:color w:val="000000"/>
          <w:sz w:val="22"/>
          <w:szCs w:val="22"/>
        </w:rPr>
        <w:t xml:space="preserve">κούς και κοινωνικούς σκοπούς. </w:t>
      </w:r>
    </w:p>
    <w:p w:rsidR="00CA3A0E" w:rsidRPr="00B25C8A" w:rsidRDefault="00CA3A0E" w:rsidP="00893F7B">
      <w:pPr>
        <w:numPr>
          <w:ilvl w:val="0"/>
          <w:numId w:val="2"/>
        </w:numPr>
        <w:ind w:left="284" w:hanging="284"/>
        <w:jc w:val="both"/>
        <w:rPr>
          <w:b/>
          <w:sz w:val="22"/>
          <w:szCs w:val="22"/>
        </w:rPr>
      </w:pPr>
      <w:r w:rsidRPr="00B25C8A">
        <w:rPr>
          <w:sz w:val="22"/>
          <w:szCs w:val="22"/>
        </w:rPr>
        <w:t>Στην Τράπεζα της Ελλάδος προς εξασφάλιση των απαιτήσεων αυτής κατά πιστωτικών ιδρυμάτων στο πλαίσιο του Μηχανισμού Έκτακτης Ενίσχυσης σε Ρευστότητα (</w:t>
      </w:r>
      <w:r w:rsidRPr="00B25C8A">
        <w:rPr>
          <w:sz w:val="22"/>
          <w:szCs w:val="22"/>
          <w:lang w:val="en-US"/>
        </w:rPr>
        <w:t>Emergency</w:t>
      </w:r>
      <w:r w:rsidRPr="00B25C8A">
        <w:rPr>
          <w:sz w:val="22"/>
          <w:szCs w:val="22"/>
        </w:rPr>
        <w:t xml:space="preserve"> </w:t>
      </w:r>
      <w:r w:rsidRPr="00B25C8A">
        <w:rPr>
          <w:sz w:val="22"/>
          <w:szCs w:val="22"/>
          <w:lang w:val="en-US"/>
        </w:rPr>
        <w:t>Liquidity</w:t>
      </w:r>
      <w:r w:rsidRPr="00B25C8A">
        <w:rPr>
          <w:sz w:val="22"/>
          <w:szCs w:val="22"/>
        </w:rPr>
        <w:t xml:space="preserve"> </w:t>
      </w:r>
      <w:r w:rsidRPr="00B25C8A">
        <w:rPr>
          <w:sz w:val="22"/>
          <w:szCs w:val="22"/>
          <w:lang w:val="en-US"/>
        </w:rPr>
        <w:t>Assi</w:t>
      </w:r>
      <w:r w:rsidRPr="00B25C8A">
        <w:rPr>
          <w:sz w:val="22"/>
          <w:szCs w:val="22"/>
          <w:lang w:val="en-US"/>
        </w:rPr>
        <w:t>s</w:t>
      </w:r>
      <w:r w:rsidRPr="00B25C8A">
        <w:rPr>
          <w:sz w:val="22"/>
          <w:szCs w:val="22"/>
          <w:lang w:val="en-US"/>
        </w:rPr>
        <w:t>tance</w:t>
      </w:r>
      <w:r w:rsidRPr="00B25C8A">
        <w:rPr>
          <w:sz w:val="22"/>
          <w:szCs w:val="22"/>
        </w:rPr>
        <w:t xml:space="preserve"> - </w:t>
      </w:r>
      <w:r w:rsidRPr="00B25C8A">
        <w:rPr>
          <w:sz w:val="22"/>
          <w:szCs w:val="22"/>
          <w:lang w:val="en-US"/>
        </w:rPr>
        <w:t>ELA</w:t>
      </w:r>
      <w:r w:rsidRPr="00B25C8A">
        <w:rPr>
          <w:sz w:val="22"/>
          <w:szCs w:val="22"/>
        </w:rPr>
        <w:t>).</w:t>
      </w:r>
    </w:p>
    <w:p w:rsidR="00CA3A0E" w:rsidRPr="00B25C8A" w:rsidRDefault="00CA3A0E" w:rsidP="00CA3A0E">
      <w:pPr>
        <w:ind w:left="776"/>
        <w:jc w:val="both"/>
        <w:rPr>
          <w:b/>
          <w:sz w:val="22"/>
          <w:szCs w:val="22"/>
        </w:rPr>
      </w:pPr>
    </w:p>
    <w:p w:rsidR="00CA3A0E" w:rsidRPr="00E22ED1" w:rsidRDefault="00CA3A0E" w:rsidP="00CA3A0E">
      <w:pPr>
        <w:jc w:val="both"/>
        <w:rPr>
          <w:sz w:val="22"/>
          <w:szCs w:val="22"/>
        </w:rPr>
      </w:pPr>
      <w:r w:rsidRPr="00B25C8A">
        <w:rPr>
          <w:sz w:val="22"/>
          <w:szCs w:val="22"/>
        </w:rPr>
        <w:t xml:space="preserve">Για το έτος 2019 τα στοιχεία των εγγυήσεων εκτιμάται ότι </w:t>
      </w:r>
      <w:r w:rsidR="00555B85">
        <w:rPr>
          <w:sz w:val="22"/>
          <w:szCs w:val="22"/>
        </w:rPr>
        <w:t xml:space="preserve">διαμορφώνονται </w:t>
      </w:r>
      <w:r w:rsidRPr="00B25C8A">
        <w:rPr>
          <w:sz w:val="22"/>
          <w:szCs w:val="22"/>
        </w:rPr>
        <w:t>ως εξής:</w:t>
      </w:r>
    </w:p>
    <w:p w:rsidR="00CA3A0E" w:rsidRPr="00E22ED1" w:rsidRDefault="00CA3A0E" w:rsidP="00CA3A0E">
      <w:pPr>
        <w:jc w:val="both"/>
        <w:rPr>
          <w:sz w:val="22"/>
          <w:szCs w:val="22"/>
        </w:rPr>
      </w:pPr>
    </w:p>
    <w:p w:rsidR="00CA3A0E" w:rsidRPr="00B25C8A" w:rsidRDefault="00CA3A0E" w:rsidP="00893F7B">
      <w:pPr>
        <w:numPr>
          <w:ilvl w:val="0"/>
          <w:numId w:val="1"/>
        </w:numPr>
        <w:ind w:left="284" w:hanging="284"/>
        <w:jc w:val="both"/>
        <w:rPr>
          <w:sz w:val="22"/>
          <w:szCs w:val="22"/>
        </w:rPr>
      </w:pPr>
      <w:r w:rsidRPr="00B25C8A">
        <w:rPr>
          <w:color w:val="000000"/>
          <w:sz w:val="22"/>
          <w:szCs w:val="22"/>
        </w:rPr>
        <w:t xml:space="preserve">Οι νέες </w:t>
      </w:r>
      <w:r w:rsidRPr="00B25C8A">
        <w:rPr>
          <w:sz w:val="22"/>
          <w:szCs w:val="22"/>
        </w:rPr>
        <w:t xml:space="preserve">εγγυήσεις </w:t>
      </w:r>
      <w:r w:rsidR="00555B85">
        <w:rPr>
          <w:sz w:val="22"/>
          <w:szCs w:val="22"/>
        </w:rPr>
        <w:t>ανέρχονται</w:t>
      </w:r>
      <w:r w:rsidRPr="00B25C8A">
        <w:rPr>
          <w:sz w:val="22"/>
          <w:szCs w:val="22"/>
        </w:rPr>
        <w:t xml:space="preserve"> στο 0,22% του ΑΕΠ, έναντι 0,10% το 2018.</w:t>
      </w:r>
    </w:p>
    <w:p w:rsidR="00CA3A0E" w:rsidRPr="00B25C8A" w:rsidRDefault="00CA3A0E" w:rsidP="00893F7B">
      <w:pPr>
        <w:numPr>
          <w:ilvl w:val="0"/>
          <w:numId w:val="1"/>
        </w:numPr>
        <w:ind w:left="284" w:hanging="284"/>
        <w:jc w:val="both"/>
        <w:rPr>
          <w:color w:val="000000"/>
          <w:sz w:val="22"/>
          <w:szCs w:val="22"/>
        </w:rPr>
      </w:pPr>
      <w:r w:rsidRPr="00B25C8A">
        <w:rPr>
          <w:color w:val="000000"/>
          <w:sz w:val="22"/>
          <w:szCs w:val="22"/>
        </w:rPr>
        <w:t xml:space="preserve">Οι πληρωμές από καταπτώσεις εγγυήσεων </w:t>
      </w:r>
      <w:r w:rsidR="00555B85">
        <w:rPr>
          <w:color w:val="000000"/>
          <w:sz w:val="22"/>
          <w:szCs w:val="22"/>
        </w:rPr>
        <w:t>διαμορφώνονται</w:t>
      </w:r>
      <w:r w:rsidRPr="00B25C8A">
        <w:rPr>
          <w:color w:val="000000"/>
          <w:sz w:val="22"/>
          <w:szCs w:val="22"/>
        </w:rPr>
        <w:t xml:space="preserve"> </w:t>
      </w:r>
      <w:r w:rsidRPr="00B25C8A">
        <w:rPr>
          <w:sz w:val="22"/>
          <w:szCs w:val="22"/>
        </w:rPr>
        <w:t>στο 0,01% του ΑΕΠ, έναντι 0,05%</w:t>
      </w:r>
      <w:r w:rsidRPr="00B25C8A">
        <w:rPr>
          <w:color w:val="000000"/>
          <w:sz w:val="22"/>
          <w:szCs w:val="22"/>
        </w:rPr>
        <w:t xml:space="preserve"> το 2018. </w:t>
      </w:r>
    </w:p>
    <w:p w:rsidR="00CA3A0E" w:rsidRPr="00B25C8A" w:rsidRDefault="00CA3A0E" w:rsidP="00893F7B">
      <w:pPr>
        <w:numPr>
          <w:ilvl w:val="0"/>
          <w:numId w:val="1"/>
        </w:numPr>
        <w:ind w:left="284" w:hanging="284"/>
        <w:jc w:val="both"/>
        <w:rPr>
          <w:sz w:val="22"/>
          <w:szCs w:val="22"/>
        </w:rPr>
      </w:pPr>
      <w:r w:rsidRPr="00B25C8A">
        <w:rPr>
          <w:color w:val="000000"/>
          <w:sz w:val="22"/>
          <w:szCs w:val="22"/>
        </w:rPr>
        <w:t xml:space="preserve">Το ανεξόφλητο εγγυημένο υπόλοιπο δανείων με την εγγύηση του Ελληνικού Δημοσίου </w:t>
      </w:r>
      <w:r w:rsidR="00555B85">
        <w:rPr>
          <w:color w:val="000000"/>
          <w:sz w:val="22"/>
          <w:szCs w:val="22"/>
        </w:rPr>
        <w:t xml:space="preserve">ανέρχεται </w:t>
      </w:r>
      <w:r w:rsidRPr="00B25C8A">
        <w:rPr>
          <w:color w:val="000000"/>
          <w:sz w:val="22"/>
          <w:szCs w:val="22"/>
        </w:rPr>
        <w:t xml:space="preserve">στο </w:t>
      </w:r>
      <w:r w:rsidRPr="00B25C8A">
        <w:rPr>
          <w:sz w:val="22"/>
          <w:szCs w:val="22"/>
        </w:rPr>
        <w:t>5,24%</w:t>
      </w:r>
      <w:r w:rsidRPr="00B25C8A">
        <w:rPr>
          <w:color w:val="000000"/>
          <w:sz w:val="22"/>
          <w:szCs w:val="22"/>
        </w:rPr>
        <w:t xml:space="preserve"> του ΑΕΠ, έναντι </w:t>
      </w:r>
      <w:r w:rsidRPr="00B25C8A">
        <w:rPr>
          <w:sz w:val="22"/>
          <w:szCs w:val="22"/>
        </w:rPr>
        <w:t>5,59% το 2018.</w:t>
      </w:r>
    </w:p>
    <w:p w:rsidR="00CA3A0E" w:rsidRPr="00B25C8A" w:rsidRDefault="00CA3A0E" w:rsidP="00CA3A0E">
      <w:pPr>
        <w:jc w:val="both"/>
        <w:rPr>
          <w:sz w:val="22"/>
          <w:szCs w:val="22"/>
        </w:rPr>
      </w:pPr>
    </w:p>
    <w:p w:rsidR="00CA3A0E" w:rsidRPr="00B25C8A" w:rsidRDefault="00CA3A0E" w:rsidP="00CA3A0E">
      <w:pPr>
        <w:jc w:val="both"/>
        <w:rPr>
          <w:sz w:val="22"/>
          <w:szCs w:val="22"/>
        </w:rPr>
      </w:pPr>
      <w:r w:rsidRPr="00B25C8A">
        <w:rPr>
          <w:sz w:val="22"/>
          <w:szCs w:val="22"/>
        </w:rPr>
        <w:t>Για το έτος 2020 η πολιτική εγγυήσεων εκτιμάται ότι θα συνεχίσει να υπόκειται στο πλαίσιο κριτηρ</w:t>
      </w:r>
      <w:r w:rsidRPr="00B25C8A">
        <w:rPr>
          <w:sz w:val="22"/>
          <w:szCs w:val="22"/>
        </w:rPr>
        <w:t>ί</w:t>
      </w:r>
      <w:r w:rsidRPr="00B25C8A">
        <w:rPr>
          <w:sz w:val="22"/>
          <w:szCs w:val="22"/>
        </w:rPr>
        <w:t>ων και στόχων της γενικότερης οικονομικής πολιτικής.</w:t>
      </w:r>
    </w:p>
    <w:p w:rsidR="00CA3A0E" w:rsidRPr="00B25C8A" w:rsidRDefault="00CA3A0E" w:rsidP="00CA3A0E">
      <w:pPr>
        <w:jc w:val="both"/>
        <w:rPr>
          <w:sz w:val="22"/>
          <w:szCs w:val="22"/>
        </w:rPr>
      </w:pPr>
    </w:p>
    <w:p w:rsidR="00CA3A0E" w:rsidRPr="00B25C8A" w:rsidRDefault="00CA3A0E" w:rsidP="00CA3A0E">
      <w:pPr>
        <w:jc w:val="both"/>
        <w:rPr>
          <w:sz w:val="22"/>
          <w:szCs w:val="22"/>
        </w:rPr>
      </w:pPr>
      <w:r w:rsidRPr="00B25C8A">
        <w:rPr>
          <w:sz w:val="22"/>
          <w:szCs w:val="22"/>
        </w:rPr>
        <w:t xml:space="preserve">Επιπρόσθετα, με την απόφαση </w:t>
      </w:r>
      <w:r w:rsidRPr="00B25C8A">
        <w:rPr>
          <w:sz w:val="22"/>
          <w:szCs w:val="22"/>
          <w:lang w:val="en-US"/>
        </w:rPr>
        <w:t>SA</w:t>
      </w:r>
      <w:r w:rsidRPr="00B25C8A">
        <w:rPr>
          <w:sz w:val="22"/>
          <w:szCs w:val="22"/>
        </w:rPr>
        <w:t xml:space="preserve"> 53519/10.10.2019 της Ευρωπαϊκής Επιτροπής εγκρίθηκε εγγυητικό σχήμα, σύμφωνα με το οποίο εγγύηση του Ελληνικού Δημοσίου καλύπτει ομολογίες υψηλής διαβά</w:t>
      </w:r>
      <w:r w:rsidRPr="00B25C8A">
        <w:rPr>
          <w:sz w:val="22"/>
          <w:szCs w:val="22"/>
        </w:rPr>
        <w:t>θ</w:t>
      </w:r>
      <w:r w:rsidRPr="00B25C8A">
        <w:rPr>
          <w:sz w:val="22"/>
          <w:szCs w:val="22"/>
        </w:rPr>
        <w:t>μισης που προκύπτουν από τιτλοποιήσεις Μη Εξυπηρετούμενων Δανείων των ελληνικών πιστωτικών ιδρυμάτων (ΗΡΑΚΛΗΣ)</w:t>
      </w:r>
      <w:r w:rsidR="00DE5D9E">
        <w:rPr>
          <w:sz w:val="22"/>
          <w:szCs w:val="22"/>
        </w:rPr>
        <w:t>, με θετικές και ιδιαίτερα σημαντικές επιπτώσεις σε ό,τι αφορά τη χρηματ</w:t>
      </w:r>
      <w:r w:rsidR="00DE5D9E">
        <w:rPr>
          <w:sz w:val="22"/>
          <w:szCs w:val="22"/>
        </w:rPr>
        <w:t>ο</w:t>
      </w:r>
      <w:r w:rsidR="00DE5D9E">
        <w:rPr>
          <w:sz w:val="22"/>
          <w:szCs w:val="22"/>
        </w:rPr>
        <w:t>δότηση και ανάκαμψη της οικονομίας</w:t>
      </w:r>
      <w:r w:rsidRPr="00B25C8A">
        <w:rPr>
          <w:sz w:val="22"/>
          <w:szCs w:val="22"/>
        </w:rPr>
        <w:t>. Οι εγγυήσεις αυτές θα συμπεριληφθούν στις εξαιρέσεις του ανώτατου ετήσιου ορίου στην παροχή κρατικών εγγυήσεων.</w:t>
      </w:r>
    </w:p>
    <w:p w:rsidR="00CA3A0E" w:rsidRPr="00B25C8A" w:rsidRDefault="00CA3A0E" w:rsidP="00CA3A0E">
      <w:pPr>
        <w:jc w:val="both"/>
        <w:rPr>
          <w:sz w:val="22"/>
          <w:szCs w:val="22"/>
        </w:rPr>
      </w:pPr>
    </w:p>
    <w:p w:rsidR="00CA3A0E" w:rsidRPr="00B25C8A" w:rsidRDefault="00CA3A0E" w:rsidP="00CA3A0E">
      <w:pPr>
        <w:jc w:val="both"/>
        <w:rPr>
          <w:sz w:val="22"/>
          <w:szCs w:val="22"/>
        </w:rPr>
      </w:pPr>
      <w:r w:rsidRPr="00B25C8A">
        <w:rPr>
          <w:sz w:val="22"/>
          <w:szCs w:val="22"/>
        </w:rPr>
        <w:t xml:space="preserve">Παράλληλα, για την επιτάχυνση της επεξεργασίας και πληρωμής των αιτημάτων κατάπτωσης που </w:t>
      </w:r>
      <w:r w:rsidRPr="00B25C8A">
        <w:rPr>
          <w:sz w:val="22"/>
          <w:szCs w:val="22"/>
        </w:rPr>
        <w:t>υ</w:t>
      </w:r>
      <w:r w:rsidRPr="00B25C8A">
        <w:rPr>
          <w:sz w:val="22"/>
          <w:szCs w:val="22"/>
        </w:rPr>
        <w:t>ποβάλλουν τα πιστωτικά ιδρύματα (τα οποία αφορούν τη χορήγηση εγγυημένων δανείων σε φυσικά πρόσωπα και ιδιωτικές επιχειρήσεις), είναι σε εξέλιξη η εφαρμογή ενός σχεδίου δράσης</w:t>
      </w:r>
      <w:r>
        <w:rPr>
          <w:sz w:val="22"/>
          <w:szCs w:val="22"/>
        </w:rPr>
        <w:t xml:space="preserve"> </w:t>
      </w:r>
      <w:r w:rsidRPr="00B25C8A">
        <w:rPr>
          <w:sz w:val="22"/>
          <w:szCs w:val="22"/>
        </w:rPr>
        <w:t>για τη βελτ</w:t>
      </w:r>
      <w:r w:rsidRPr="00B25C8A">
        <w:rPr>
          <w:sz w:val="22"/>
          <w:szCs w:val="22"/>
        </w:rPr>
        <w:t>ί</w:t>
      </w:r>
      <w:r w:rsidRPr="00B25C8A">
        <w:rPr>
          <w:sz w:val="22"/>
          <w:szCs w:val="22"/>
        </w:rPr>
        <w:t>ωση της διαχείρισης των κρατικών εγγυήσεων. Το εν λόγω σχέδιο προβλέπει τη χρήση ψηφιακών δ</w:t>
      </w:r>
      <w:r w:rsidRPr="00B25C8A">
        <w:rPr>
          <w:sz w:val="22"/>
          <w:szCs w:val="22"/>
        </w:rPr>
        <w:t>υ</w:t>
      </w:r>
      <w:r w:rsidRPr="00B25C8A">
        <w:rPr>
          <w:sz w:val="22"/>
          <w:szCs w:val="22"/>
        </w:rPr>
        <w:t>νατοτήτων, όπως την αυτοματοποίηση της βεβαίωσης οφειλών στις ΔΟΥ και της παρακολούθησης κάθε δανειολήπτη με τη χρήση διεπαφών ανάμεσα στο Ολοκληρωμένο Πληροφοριακό Σύστημα Δ</w:t>
      </w:r>
      <w:r w:rsidRPr="00B25C8A">
        <w:rPr>
          <w:sz w:val="22"/>
          <w:szCs w:val="22"/>
        </w:rPr>
        <w:t>η</w:t>
      </w:r>
      <w:r w:rsidRPr="00B25C8A">
        <w:rPr>
          <w:sz w:val="22"/>
          <w:szCs w:val="22"/>
        </w:rPr>
        <w:lastRenderedPageBreak/>
        <w:t>μοσιονομικής Πολιτικής και το Taxis, αλλά και τη λειτουργία του συστήματος «Ηλεκτρονικός Φάκ</w:t>
      </w:r>
      <w:r w:rsidRPr="00B25C8A">
        <w:rPr>
          <w:sz w:val="22"/>
          <w:szCs w:val="22"/>
        </w:rPr>
        <w:t>ε</w:t>
      </w:r>
      <w:r w:rsidRPr="00B25C8A">
        <w:rPr>
          <w:sz w:val="22"/>
          <w:szCs w:val="22"/>
        </w:rPr>
        <w:t>λος Δανειολήπτη» για την ηλεκτρονική διαχείριση των εγγράφων που συνοδεύουν τα αιτήματα κατ</w:t>
      </w:r>
      <w:r w:rsidRPr="00B25C8A">
        <w:rPr>
          <w:sz w:val="22"/>
          <w:szCs w:val="22"/>
        </w:rPr>
        <w:t>ά</w:t>
      </w:r>
      <w:r w:rsidRPr="00B25C8A">
        <w:rPr>
          <w:sz w:val="22"/>
          <w:szCs w:val="22"/>
        </w:rPr>
        <w:t>πτωσης.</w:t>
      </w:r>
      <w:r w:rsidR="00DE5D9E">
        <w:rPr>
          <w:sz w:val="22"/>
          <w:szCs w:val="22"/>
        </w:rPr>
        <w:t xml:space="preserve"> </w:t>
      </w:r>
      <w:r w:rsidR="00AA7799">
        <w:rPr>
          <w:sz w:val="22"/>
          <w:szCs w:val="22"/>
        </w:rPr>
        <w:t>Επίσης</w:t>
      </w:r>
      <w:r w:rsidR="00DE5D9E">
        <w:rPr>
          <w:sz w:val="22"/>
          <w:szCs w:val="22"/>
        </w:rPr>
        <w:t>, θα ενισχυθεί το προσωπικό του ΓΛΚ που εξετάζει τα εκκρεμή αιτήματα καταπτώσ</w:t>
      </w:r>
      <w:r w:rsidR="00DE5D9E">
        <w:rPr>
          <w:sz w:val="22"/>
          <w:szCs w:val="22"/>
        </w:rPr>
        <w:t>ε</w:t>
      </w:r>
      <w:r w:rsidR="00DE5D9E">
        <w:rPr>
          <w:sz w:val="22"/>
          <w:szCs w:val="22"/>
        </w:rPr>
        <w:t xml:space="preserve">ων και θα βελτιωθεί το διαχειριστικό και νομικό πλαίσιο σε συνεργασία με τα </w:t>
      </w:r>
      <w:r w:rsidR="00AA7799">
        <w:rPr>
          <w:sz w:val="22"/>
          <w:szCs w:val="22"/>
        </w:rPr>
        <w:t>πιστωτικά</w:t>
      </w:r>
      <w:r w:rsidR="00DE5D9E">
        <w:rPr>
          <w:sz w:val="22"/>
          <w:szCs w:val="22"/>
        </w:rPr>
        <w:t xml:space="preserve"> ιδρύματα.</w:t>
      </w:r>
      <w:r w:rsidR="00AA7799">
        <w:rPr>
          <w:sz w:val="22"/>
          <w:szCs w:val="22"/>
        </w:rPr>
        <w:t xml:space="preserve"> Στόχος των εν λόγω δράσεων είναι να υποστηρίξουν ένα μεσοπρόθεσμο πλάνο αποπληρωμής των α</w:t>
      </w:r>
      <w:r w:rsidR="00AA7799">
        <w:rPr>
          <w:sz w:val="22"/>
          <w:szCs w:val="22"/>
        </w:rPr>
        <w:t>ι</w:t>
      </w:r>
      <w:r w:rsidR="00AA7799">
        <w:rPr>
          <w:sz w:val="22"/>
          <w:szCs w:val="22"/>
        </w:rPr>
        <w:t xml:space="preserve">τημάτων </w:t>
      </w:r>
      <w:r w:rsidR="00FB4983">
        <w:rPr>
          <w:sz w:val="22"/>
          <w:szCs w:val="22"/>
        </w:rPr>
        <w:t>καταπτώσεων των εγγυημένων από το Ελληνικό Δημόσιο δανείων.</w:t>
      </w:r>
    </w:p>
    <w:p w:rsidR="00CA3A0E" w:rsidRPr="00B25C8A" w:rsidRDefault="00CA3A0E" w:rsidP="00CA3A0E">
      <w:pPr>
        <w:jc w:val="both"/>
        <w:rPr>
          <w:sz w:val="22"/>
          <w:szCs w:val="22"/>
        </w:rPr>
      </w:pPr>
    </w:p>
    <w:p w:rsidR="00CA3A0E" w:rsidRDefault="00CA3A0E" w:rsidP="00CA3A0E">
      <w:pPr>
        <w:jc w:val="both"/>
        <w:rPr>
          <w:sz w:val="22"/>
          <w:szCs w:val="22"/>
        </w:rPr>
      </w:pPr>
      <w:r w:rsidRPr="00B25C8A">
        <w:rPr>
          <w:sz w:val="22"/>
          <w:szCs w:val="22"/>
        </w:rPr>
        <w:t>Επισημαίνεται ότι τα στοιχεία του πίνακα και του διαγράμματος δεν περιλαμβάνουν τις εγγυήσεις που έχουν παρασχεθεί προς τα πιστωτικά ιδρύματα τόσο στο πλαίσιο της ενίσχυσης της ρευστότητάς τους</w:t>
      </w:r>
      <w:r w:rsidR="00167EF8">
        <w:rPr>
          <w:sz w:val="22"/>
          <w:szCs w:val="22"/>
        </w:rPr>
        <w:t>,</w:t>
      </w:r>
      <w:r w:rsidRPr="00B25C8A">
        <w:rPr>
          <w:sz w:val="22"/>
          <w:szCs w:val="22"/>
        </w:rPr>
        <w:t xml:space="preserve"> όσο και στο πλαίσιο του Προγράμματος Ενίσχυσης της Επιχειρηματικότητας.</w:t>
      </w:r>
    </w:p>
    <w:p w:rsidR="00FB4983" w:rsidRDefault="00FB4983" w:rsidP="00CA3A0E">
      <w:pPr>
        <w:jc w:val="both"/>
        <w:rPr>
          <w:sz w:val="22"/>
          <w:szCs w:val="22"/>
        </w:rPr>
      </w:pPr>
    </w:p>
    <w:p w:rsidR="00FB4983" w:rsidRDefault="00FB4983" w:rsidP="00CA3A0E">
      <w:pPr>
        <w:jc w:val="both"/>
        <w:rPr>
          <w:sz w:val="22"/>
          <w:szCs w:val="22"/>
        </w:rPr>
      </w:pPr>
    </w:p>
    <w:p w:rsidR="003144A8" w:rsidRPr="00B25C8A" w:rsidRDefault="003144A8" w:rsidP="00CA3A0E">
      <w:pPr>
        <w:jc w:val="both"/>
        <w:rPr>
          <w:sz w:val="22"/>
          <w:szCs w:val="22"/>
        </w:rPr>
      </w:pPr>
    </w:p>
    <w:p w:rsidR="00BA1AB3" w:rsidRPr="006F4CB0" w:rsidRDefault="00BA1AB3" w:rsidP="00BA1AB3">
      <w:pPr>
        <w:jc w:val="both"/>
        <w:rPr>
          <w:sz w:val="18"/>
          <w:szCs w:val="22"/>
        </w:rPr>
      </w:pPr>
    </w:p>
    <w:tbl>
      <w:tblPr>
        <w:tblW w:w="9479" w:type="dxa"/>
        <w:jc w:val="center"/>
        <w:tblLayout w:type="fixed"/>
        <w:tblLook w:val="0000"/>
      </w:tblPr>
      <w:tblGrid>
        <w:gridCol w:w="810"/>
        <w:gridCol w:w="665"/>
        <w:gridCol w:w="781"/>
        <w:gridCol w:w="976"/>
        <w:gridCol w:w="976"/>
        <w:gridCol w:w="781"/>
        <w:gridCol w:w="1171"/>
        <w:gridCol w:w="1562"/>
        <w:gridCol w:w="781"/>
        <w:gridCol w:w="976"/>
      </w:tblGrid>
      <w:tr w:rsidR="00BA1AB3" w:rsidRPr="009367DF" w:rsidTr="003F7B07">
        <w:trPr>
          <w:trHeight w:val="21"/>
          <w:jc w:val="center"/>
        </w:trPr>
        <w:tc>
          <w:tcPr>
            <w:tcW w:w="9479" w:type="dxa"/>
            <w:gridSpan w:val="10"/>
            <w:tcBorders>
              <w:top w:val="single" w:sz="6" w:space="0" w:color="auto"/>
              <w:left w:val="single" w:sz="6" w:space="0" w:color="auto"/>
              <w:right w:val="single" w:sz="6" w:space="0" w:color="auto"/>
            </w:tcBorders>
            <w:shd w:val="clear" w:color="auto" w:fill="404040"/>
            <w:tcMar>
              <w:left w:w="28" w:type="dxa"/>
              <w:right w:w="28" w:type="dxa"/>
            </w:tcMar>
            <w:vAlign w:val="bottom"/>
          </w:tcPr>
          <w:p w:rsidR="00BA1AB3" w:rsidRPr="009367DF" w:rsidRDefault="002A3550" w:rsidP="003F7B07">
            <w:pPr>
              <w:pStyle w:val="3"/>
              <w:spacing w:before="120" w:after="0"/>
              <w:jc w:val="center"/>
              <w:rPr>
                <w:rFonts w:ascii="Arial Narrow" w:hAnsi="Arial Narrow"/>
                <w:color w:val="FFFFFF"/>
                <w:sz w:val="24"/>
                <w:szCs w:val="24"/>
              </w:rPr>
            </w:pPr>
            <w:r>
              <w:rPr>
                <w:rFonts w:ascii="Arial Narrow" w:hAnsi="Arial Narrow"/>
                <w:color w:val="FFFFFF"/>
                <w:sz w:val="24"/>
                <w:szCs w:val="24"/>
              </w:rPr>
              <w:t>Πίνακας 4</w:t>
            </w:r>
            <w:r w:rsidR="00E46E13">
              <w:rPr>
                <w:rFonts w:ascii="Arial Narrow" w:hAnsi="Arial Narrow"/>
                <w:color w:val="FFFFFF"/>
                <w:sz w:val="24"/>
                <w:szCs w:val="24"/>
              </w:rPr>
              <w:t>.10</w:t>
            </w:r>
            <w:r w:rsidR="00BA1AB3">
              <w:rPr>
                <w:rFonts w:ascii="Arial Narrow" w:hAnsi="Arial Narrow"/>
                <w:color w:val="FFFFFF"/>
                <w:sz w:val="24"/>
                <w:szCs w:val="24"/>
              </w:rPr>
              <w:t xml:space="preserve"> </w:t>
            </w:r>
            <w:r w:rsidR="00BA1AB3" w:rsidRPr="009367DF">
              <w:rPr>
                <w:rFonts w:ascii="Arial Narrow" w:hAnsi="Arial Narrow"/>
                <w:color w:val="FFFFFF"/>
                <w:sz w:val="24"/>
                <w:szCs w:val="24"/>
              </w:rPr>
              <w:t>Εγγυήσεις, ανεξόφλητο εγγυημένο υπόλοιπο, καταπτώσεις και</w:t>
            </w:r>
          </w:p>
          <w:p w:rsidR="00BA1AB3" w:rsidRPr="00CA3A0E" w:rsidRDefault="00BA1AB3" w:rsidP="003F7B07">
            <w:pPr>
              <w:pStyle w:val="3"/>
              <w:spacing w:before="0" w:after="0"/>
              <w:jc w:val="center"/>
              <w:rPr>
                <w:rFonts w:ascii="Arial Narrow" w:hAnsi="Arial Narrow"/>
                <w:color w:val="FFFFFF"/>
                <w:sz w:val="24"/>
                <w:szCs w:val="24"/>
              </w:rPr>
            </w:pPr>
            <w:r w:rsidRPr="009367DF">
              <w:rPr>
                <w:rFonts w:ascii="Arial Narrow" w:hAnsi="Arial Narrow"/>
                <w:color w:val="FFFFFF"/>
                <w:sz w:val="24"/>
                <w:szCs w:val="24"/>
              </w:rPr>
              <w:t>προμήθειες εγγυήσε</w:t>
            </w:r>
            <w:r w:rsidR="00CA3A0E">
              <w:rPr>
                <w:rFonts w:ascii="Arial Narrow" w:hAnsi="Arial Narrow"/>
                <w:color w:val="FFFFFF"/>
                <w:sz w:val="24"/>
                <w:szCs w:val="24"/>
              </w:rPr>
              <w:t>ων κατά τα έτη 200</w:t>
            </w:r>
            <w:r w:rsidR="00CA3A0E" w:rsidRPr="00CA3A0E">
              <w:rPr>
                <w:rFonts w:ascii="Arial Narrow" w:hAnsi="Arial Narrow"/>
                <w:color w:val="FFFFFF"/>
                <w:sz w:val="24"/>
                <w:szCs w:val="24"/>
              </w:rPr>
              <w:t>5</w:t>
            </w:r>
            <w:r>
              <w:rPr>
                <w:rFonts w:ascii="Arial Narrow" w:hAnsi="Arial Narrow"/>
                <w:color w:val="FFFFFF"/>
                <w:sz w:val="24"/>
                <w:szCs w:val="24"/>
              </w:rPr>
              <w:t>-201</w:t>
            </w:r>
            <w:r w:rsidR="00CA3A0E" w:rsidRPr="00CA3A0E">
              <w:rPr>
                <w:rFonts w:ascii="Arial Narrow" w:hAnsi="Arial Narrow"/>
                <w:color w:val="FFFFFF"/>
                <w:sz w:val="24"/>
                <w:szCs w:val="24"/>
              </w:rPr>
              <w:t>9</w:t>
            </w:r>
          </w:p>
          <w:p w:rsidR="00BA1AB3" w:rsidRPr="009367DF" w:rsidRDefault="00BA1AB3" w:rsidP="003F7B07">
            <w:pPr>
              <w:spacing w:after="120"/>
              <w:jc w:val="center"/>
              <w:rPr>
                <w:rFonts w:ascii="Arial Narrow" w:hAnsi="Arial Narrow"/>
                <w:b/>
                <w:bCs/>
                <w:color w:val="FFFFFF"/>
                <w:sz w:val="16"/>
                <w:szCs w:val="16"/>
              </w:rPr>
            </w:pPr>
            <w:r w:rsidRPr="009367DF">
              <w:rPr>
                <w:rFonts w:ascii="Arial Narrow" w:hAnsi="Arial Narrow"/>
                <w:b/>
                <w:color w:val="FFFFFF"/>
              </w:rPr>
              <w:t>(σε εκατ. ευρώ)</w:t>
            </w:r>
          </w:p>
        </w:tc>
      </w:tr>
      <w:tr w:rsidR="00BA1AB3" w:rsidRPr="00FB44F1" w:rsidTr="003F7B07">
        <w:trPr>
          <w:trHeight w:val="21"/>
          <w:jc w:val="center"/>
        </w:trPr>
        <w:tc>
          <w:tcPr>
            <w:tcW w:w="810" w:type="dxa"/>
            <w:tcBorders>
              <w:left w:val="single" w:sz="6" w:space="0" w:color="auto"/>
              <w:bottom w:val="single" w:sz="6" w:space="0" w:color="auto"/>
            </w:tcBorders>
            <w:shd w:val="clear" w:color="auto" w:fill="auto"/>
            <w:tcMar>
              <w:left w:w="28" w:type="dxa"/>
              <w:right w:w="28" w:type="dxa"/>
            </w:tcMar>
            <w:vAlign w:val="bottom"/>
          </w:tcPr>
          <w:p w:rsidR="00BA1AB3" w:rsidRPr="00FB44F1" w:rsidRDefault="00BA1AB3" w:rsidP="003F7B07">
            <w:pPr>
              <w:rPr>
                <w:rFonts w:ascii="Arial Narrow" w:hAnsi="Arial Narrow"/>
                <w:sz w:val="10"/>
                <w:szCs w:val="16"/>
              </w:rPr>
            </w:pPr>
          </w:p>
        </w:tc>
        <w:tc>
          <w:tcPr>
            <w:tcW w:w="1446" w:type="dxa"/>
            <w:gridSpan w:val="2"/>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952" w:type="dxa"/>
            <w:gridSpan w:val="2"/>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952" w:type="dxa"/>
            <w:gridSpan w:val="2"/>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562" w:type="dxa"/>
            <w:tcBorders>
              <w:bottom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c>
          <w:tcPr>
            <w:tcW w:w="1757" w:type="dxa"/>
            <w:gridSpan w:val="2"/>
            <w:tcBorders>
              <w:bottom w:val="single" w:sz="6" w:space="0" w:color="auto"/>
              <w:right w:val="single" w:sz="6" w:space="0" w:color="auto"/>
            </w:tcBorders>
            <w:shd w:val="clear" w:color="auto" w:fill="auto"/>
            <w:tcMar>
              <w:left w:w="28" w:type="dxa"/>
              <w:right w:w="28" w:type="dxa"/>
            </w:tcMar>
            <w:vAlign w:val="center"/>
          </w:tcPr>
          <w:p w:rsidR="00BA1AB3" w:rsidRPr="00FB44F1" w:rsidRDefault="00BA1AB3" w:rsidP="003F7B07">
            <w:pPr>
              <w:jc w:val="center"/>
              <w:rPr>
                <w:rFonts w:ascii="Arial Narrow" w:hAnsi="Arial Narrow"/>
                <w:b/>
                <w:bCs/>
                <w:sz w:val="10"/>
                <w:szCs w:val="16"/>
              </w:rPr>
            </w:pPr>
          </w:p>
        </w:tc>
      </w:tr>
      <w:tr w:rsidR="00BA1AB3" w:rsidRPr="009367DF" w:rsidTr="003F7B07">
        <w:trPr>
          <w:trHeight w:val="21"/>
          <w:jc w:val="center"/>
        </w:trPr>
        <w:tc>
          <w:tcPr>
            <w:tcW w:w="810" w:type="dxa"/>
            <w:tcBorders>
              <w:top w:val="single" w:sz="6" w:space="0" w:color="auto"/>
              <w:left w:val="single" w:sz="6" w:space="0" w:color="auto"/>
              <w:right w:val="single" w:sz="6" w:space="0" w:color="auto"/>
            </w:tcBorders>
            <w:shd w:val="clear" w:color="auto" w:fill="auto"/>
            <w:tcMar>
              <w:left w:w="28" w:type="dxa"/>
              <w:right w:w="28" w:type="dxa"/>
            </w:tcMar>
            <w:vAlign w:val="bottom"/>
          </w:tcPr>
          <w:p w:rsidR="00BA1AB3" w:rsidRPr="009367DF" w:rsidRDefault="00BA1AB3" w:rsidP="003F7B07">
            <w:pPr>
              <w:rPr>
                <w:rFonts w:ascii="Arial Narrow" w:hAnsi="Arial Narrow"/>
                <w:sz w:val="16"/>
                <w:szCs w:val="16"/>
              </w:rPr>
            </w:pPr>
          </w:p>
        </w:tc>
        <w:tc>
          <w:tcPr>
            <w:tcW w:w="1446"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Εγγυήσεις</w:t>
            </w:r>
          </w:p>
        </w:tc>
        <w:tc>
          <w:tcPr>
            <w:tcW w:w="1952"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Ανεξόφλητο</w:t>
            </w:r>
            <w:r>
              <w:rPr>
                <w:rFonts w:ascii="Arial Narrow" w:hAnsi="Arial Narrow"/>
                <w:b/>
                <w:bCs/>
                <w:sz w:val="16"/>
                <w:szCs w:val="16"/>
              </w:rPr>
              <w:t xml:space="preserve"> </w:t>
            </w:r>
            <w:r w:rsidRPr="009367DF">
              <w:rPr>
                <w:rFonts w:ascii="Arial Narrow" w:hAnsi="Arial Narrow"/>
                <w:b/>
                <w:bCs/>
                <w:sz w:val="16"/>
                <w:szCs w:val="16"/>
              </w:rPr>
              <w:t>εγγυημένο</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υπόλοιπο</w:t>
            </w:r>
          </w:p>
        </w:tc>
        <w:tc>
          <w:tcPr>
            <w:tcW w:w="1952"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w:t>
            </w:r>
          </w:p>
        </w:tc>
        <w:tc>
          <w:tcPr>
            <w:tcW w:w="1562" w:type="dxa"/>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Έσοδα από</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προμήθειες εγγυήσεων</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του Δημοσίου και</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εισπράξεις από ΔΟΥ</w:t>
            </w:r>
          </w:p>
        </w:tc>
        <w:tc>
          <w:tcPr>
            <w:tcW w:w="1757" w:type="dxa"/>
            <w:gridSpan w:val="2"/>
            <w:tcBorders>
              <w:top w:val="single" w:sz="6" w:space="0" w:color="auto"/>
              <w:left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 που</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 xml:space="preserve">τελικά βαρύνουν </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το Δημόσιο</w:t>
            </w:r>
          </w:p>
        </w:tc>
      </w:tr>
      <w:tr w:rsidR="00BA1AB3" w:rsidRPr="009367DF" w:rsidTr="003F7B07">
        <w:trPr>
          <w:trHeight w:val="21"/>
          <w:jc w:val="center"/>
        </w:trPr>
        <w:tc>
          <w:tcPr>
            <w:tcW w:w="810" w:type="dxa"/>
            <w:tcBorders>
              <w:left w:val="single" w:sz="6" w:space="0" w:color="auto"/>
              <w:bottom w:val="single" w:sz="6" w:space="0" w:color="auto"/>
              <w:right w:val="single" w:sz="6" w:space="0" w:color="auto"/>
            </w:tcBorders>
            <w:shd w:val="clear" w:color="auto" w:fill="auto"/>
            <w:tcMar>
              <w:left w:w="28" w:type="dxa"/>
              <w:right w:w="28" w:type="dxa"/>
            </w:tcMar>
            <w:vAlign w:val="bottom"/>
          </w:tcPr>
          <w:p w:rsidR="00BA1AB3" w:rsidRPr="009367DF" w:rsidRDefault="00BA1AB3" w:rsidP="003F7B07">
            <w:pPr>
              <w:rPr>
                <w:rFonts w:ascii="Arial Narrow" w:hAnsi="Arial Narrow"/>
                <w:sz w:val="16"/>
                <w:szCs w:val="16"/>
              </w:rPr>
            </w:pPr>
          </w:p>
        </w:tc>
        <w:tc>
          <w:tcPr>
            <w:tcW w:w="1446"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(1)</w:t>
            </w:r>
          </w:p>
        </w:tc>
        <w:tc>
          <w:tcPr>
            <w:tcW w:w="1952"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(2)</w:t>
            </w:r>
          </w:p>
        </w:tc>
        <w:tc>
          <w:tcPr>
            <w:tcW w:w="1952"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(3)</w:t>
            </w:r>
          </w:p>
        </w:tc>
        <w:tc>
          <w:tcPr>
            <w:tcW w:w="1562" w:type="dxa"/>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(4)</w:t>
            </w:r>
          </w:p>
        </w:tc>
        <w:tc>
          <w:tcPr>
            <w:tcW w:w="1757" w:type="dxa"/>
            <w:gridSpan w:val="2"/>
            <w:tcBorders>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Pr>
                <w:rFonts w:ascii="Arial Narrow" w:hAnsi="Arial Narrow"/>
                <w:b/>
                <w:bCs/>
                <w:sz w:val="16"/>
                <w:szCs w:val="16"/>
              </w:rPr>
              <w:t>(5) = (3)-(4)</w:t>
            </w:r>
          </w:p>
        </w:tc>
      </w:tr>
      <w:tr w:rsidR="00BA1AB3" w:rsidRPr="009367DF" w:rsidTr="003F7B07">
        <w:trPr>
          <w:trHeight w:val="21"/>
          <w:jc w:val="center"/>
        </w:trPr>
        <w:tc>
          <w:tcPr>
            <w:tcW w:w="810" w:type="dxa"/>
            <w:tcBorders>
              <w:top w:val="single" w:sz="6" w:space="0" w:color="auto"/>
              <w:left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rPr>
                <w:rFonts w:ascii="Arial Narrow" w:hAnsi="Arial Narrow"/>
                <w:sz w:val="16"/>
                <w:szCs w:val="16"/>
              </w:rPr>
            </w:pPr>
          </w:p>
        </w:tc>
        <w:tc>
          <w:tcPr>
            <w:tcW w:w="1446"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c>
          <w:tcPr>
            <w:tcW w:w="1952"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την 31/12</w:t>
            </w:r>
          </w:p>
        </w:tc>
        <w:tc>
          <w:tcPr>
            <w:tcW w:w="1952"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c>
          <w:tcPr>
            <w:tcW w:w="156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c>
          <w:tcPr>
            <w:tcW w:w="1757" w:type="dxa"/>
            <w:gridSpan w:val="2"/>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1/1-31/12</w:t>
            </w:r>
          </w:p>
        </w:tc>
      </w:tr>
      <w:tr w:rsidR="00BA1AB3" w:rsidRPr="009367DF" w:rsidTr="003F7B07">
        <w:trPr>
          <w:trHeight w:val="21"/>
          <w:jc w:val="center"/>
        </w:trPr>
        <w:tc>
          <w:tcPr>
            <w:tcW w:w="810" w:type="dxa"/>
            <w:tcBorders>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Έτος</w:t>
            </w:r>
          </w:p>
        </w:tc>
        <w:tc>
          <w:tcPr>
            <w:tcW w:w="665"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78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Εγγυήσεις</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ως % του ΑΕΠ</w:t>
            </w:r>
          </w:p>
        </w:tc>
        <w:tc>
          <w:tcPr>
            <w:tcW w:w="976"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976"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Υπόλοιπο</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ως % του ΑΕΠ</w:t>
            </w:r>
          </w:p>
        </w:tc>
        <w:tc>
          <w:tcPr>
            <w:tcW w:w="781"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117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w:t>
            </w:r>
          </w:p>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ως % του ΑΕΠ</w:t>
            </w:r>
          </w:p>
        </w:tc>
        <w:tc>
          <w:tcPr>
            <w:tcW w:w="1562"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781"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Ποσά</w:t>
            </w:r>
          </w:p>
        </w:tc>
        <w:tc>
          <w:tcPr>
            <w:tcW w:w="976"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BA1AB3" w:rsidRPr="009367DF" w:rsidRDefault="00BA1AB3" w:rsidP="003F7B07">
            <w:pPr>
              <w:jc w:val="center"/>
              <w:rPr>
                <w:rFonts w:ascii="Arial Narrow" w:hAnsi="Arial Narrow"/>
                <w:b/>
                <w:bCs/>
                <w:sz w:val="16"/>
                <w:szCs w:val="16"/>
              </w:rPr>
            </w:pPr>
            <w:r w:rsidRPr="009367DF">
              <w:rPr>
                <w:rFonts w:ascii="Arial Narrow" w:hAnsi="Arial Narrow"/>
                <w:b/>
                <w:bCs/>
                <w:sz w:val="16"/>
                <w:szCs w:val="16"/>
              </w:rPr>
              <w:t>Καταπτώσεις ως</w:t>
            </w:r>
            <w:r>
              <w:rPr>
                <w:rFonts w:ascii="Arial Narrow" w:hAnsi="Arial Narrow"/>
                <w:b/>
                <w:bCs/>
                <w:sz w:val="16"/>
                <w:szCs w:val="16"/>
              </w:rPr>
              <w:t xml:space="preserve"> </w:t>
            </w:r>
            <w:r w:rsidRPr="009367DF">
              <w:rPr>
                <w:rFonts w:ascii="Arial Narrow" w:hAnsi="Arial Narrow"/>
                <w:b/>
                <w:bCs/>
                <w:sz w:val="16"/>
                <w:szCs w:val="16"/>
              </w:rPr>
              <w:t>% του ΑΕΠ</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2005</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1.628,2</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0,8</w:t>
            </w:r>
            <w:r w:rsidR="00071668">
              <w:rPr>
                <w:rFonts w:ascii="Arial Narrow" w:hAnsi="Arial Narrow" w:cs="Arial"/>
                <w:sz w:val="16"/>
                <w:szCs w:val="16"/>
              </w:rPr>
              <w:t>2</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16.200,5</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8,1</w:t>
            </w:r>
            <w:r w:rsidR="00071668">
              <w:rPr>
                <w:rFonts w:ascii="Arial Narrow" w:hAnsi="Arial Narrow" w:cs="Arial"/>
                <w:sz w:val="16"/>
                <w:szCs w:val="16"/>
              </w:rPr>
              <w:t>3</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373,9</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w:t>
            </w:r>
            <w:r w:rsidR="00071668">
              <w:rPr>
                <w:rFonts w:ascii="Arial Narrow" w:hAnsi="Arial Narrow" w:cs="Arial"/>
                <w:sz w:val="16"/>
                <w:szCs w:val="16"/>
              </w:rPr>
              <w:t>19</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51,2</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322,7</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0,16</w:t>
            </w:r>
          </w:p>
        </w:tc>
      </w:tr>
      <w:tr w:rsidR="00BA1AB3" w:rsidRPr="009367DF" w:rsidTr="003F7B07">
        <w:trPr>
          <w:trHeight w:val="241"/>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2006</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1.736,0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0,8</w:t>
            </w:r>
            <w:r w:rsidR="00071668">
              <w:rPr>
                <w:rFonts w:ascii="Arial Narrow" w:hAnsi="Arial Narrow" w:cs="Arial"/>
                <w:sz w:val="16"/>
                <w:szCs w:val="16"/>
              </w:rPr>
              <w:t>0</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17.936,1</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8,2</w:t>
            </w:r>
            <w:r w:rsidR="00071668">
              <w:rPr>
                <w:rFonts w:ascii="Arial Narrow" w:hAnsi="Arial Narrow" w:cs="Arial"/>
                <w:sz w:val="16"/>
                <w:szCs w:val="16"/>
              </w:rPr>
              <w:t>3</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94,6</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w:t>
            </w:r>
            <w:r w:rsidR="00071668">
              <w:rPr>
                <w:rFonts w:ascii="Arial Narrow" w:hAnsi="Arial Narrow" w:cs="Arial"/>
                <w:sz w:val="16"/>
                <w:szCs w:val="16"/>
              </w:rPr>
              <w:t>04</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49,2</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45,4</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0,02</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sidRPr="009367DF">
              <w:rPr>
                <w:rFonts w:ascii="Arial Narrow" w:hAnsi="Arial Narrow"/>
                <w:sz w:val="16"/>
                <w:szCs w:val="16"/>
              </w:rPr>
              <w:t>2007</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1.656,6</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r w:rsidR="00071668">
              <w:rPr>
                <w:rFonts w:ascii="Arial Narrow" w:hAnsi="Arial Narrow" w:cs="Arial"/>
                <w:sz w:val="16"/>
                <w:szCs w:val="16"/>
              </w:rPr>
              <w:t>1</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19.929,0</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8,</w:t>
            </w:r>
            <w:r w:rsidR="00071668">
              <w:rPr>
                <w:rFonts w:ascii="Arial Narrow" w:hAnsi="Arial Narrow" w:cs="Arial"/>
                <w:sz w:val="16"/>
                <w:szCs w:val="16"/>
              </w:rPr>
              <w:t>5</w:t>
            </w:r>
            <w:r w:rsidRPr="00C9023C">
              <w:rPr>
                <w:rFonts w:ascii="Arial Narrow" w:hAnsi="Arial Narrow" w:cs="Arial"/>
                <w:sz w:val="16"/>
                <w:szCs w:val="16"/>
              </w:rPr>
              <w:t>6</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42,3</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0,02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57,3</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-15,0</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-0,01</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9367DF" w:rsidRDefault="00BA1AB3" w:rsidP="003F7B07">
            <w:pPr>
              <w:jc w:val="center"/>
              <w:rPr>
                <w:rFonts w:ascii="Arial Narrow" w:hAnsi="Arial Narrow"/>
                <w:sz w:val="16"/>
                <w:szCs w:val="16"/>
              </w:rPr>
            </w:pPr>
            <w:r>
              <w:rPr>
                <w:rFonts w:ascii="Arial Narrow" w:hAnsi="Arial Narrow"/>
                <w:sz w:val="16"/>
                <w:szCs w:val="16"/>
              </w:rPr>
              <w:t>2008</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1.788,0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0,7</w:t>
            </w:r>
            <w:r w:rsidR="00071668">
              <w:rPr>
                <w:rFonts w:ascii="Arial Narrow" w:hAnsi="Arial Narrow" w:cs="Arial"/>
                <w:sz w:val="16"/>
                <w:szCs w:val="16"/>
              </w:rPr>
              <w:t>4</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23.232,0</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9,6</w:t>
            </w:r>
            <w:r w:rsidR="00071668">
              <w:rPr>
                <w:rFonts w:ascii="Arial Narrow" w:hAnsi="Arial Narrow" w:cs="Arial"/>
                <w:sz w:val="16"/>
                <w:szCs w:val="16"/>
              </w:rPr>
              <w:t>0</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434,1</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0,18</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68,4</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365,7</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0,15</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2009</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1.563,7</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w:t>
            </w:r>
            <w:r w:rsidR="00071668">
              <w:rPr>
                <w:rFonts w:ascii="Arial Narrow" w:hAnsi="Arial Narrow" w:cs="Arial"/>
                <w:sz w:val="16"/>
                <w:szCs w:val="16"/>
              </w:rPr>
              <w:t>66</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25.586,6</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10,</w:t>
            </w:r>
            <w:r w:rsidR="00071668">
              <w:rPr>
                <w:rFonts w:ascii="Arial Narrow" w:hAnsi="Arial Narrow" w:cs="Arial"/>
                <w:sz w:val="16"/>
                <w:szCs w:val="16"/>
              </w:rPr>
              <w:t>77</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704,8</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0,30</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70,7</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634,1</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0,27</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2010</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1.254,4</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w:t>
            </w:r>
            <w:r w:rsidR="00071668">
              <w:rPr>
                <w:rFonts w:ascii="Arial Narrow" w:hAnsi="Arial Narrow" w:cs="Arial"/>
                <w:sz w:val="16"/>
                <w:szCs w:val="16"/>
              </w:rPr>
              <w:t>55</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22.438,2</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9,9</w:t>
            </w:r>
            <w:r w:rsidR="00071668">
              <w:rPr>
                <w:rFonts w:ascii="Arial Narrow" w:hAnsi="Arial Narrow" w:cs="Arial"/>
                <w:sz w:val="16"/>
                <w:szCs w:val="16"/>
              </w:rPr>
              <w:t>3</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974,2</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0,43</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78,5</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895,7</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0,40</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2011</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1.804,9</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w:t>
            </w:r>
            <w:r w:rsidR="00071668">
              <w:rPr>
                <w:rFonts w:ascii="Arial Narrow" w:hAnsi="Arial Narrow" w:cs="Arial"/>
                <w:sz w:val="16"/>
                <w:szCs w:val="16"/>
              </w:rPr>
              <w:t>87</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19.950,8</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9,6</w:t>
            </w:r>
            <w:r w:rsidR="00071668">
              <w:rPr>
                <w:rFonts w:ascii="Arial Narrow" w:hAnsi="Arial Narrow" w:cs="Arial"/>
                <w:sz w:val="16"/>
                <w:szCs w:val="16"/>
              </w:rPr>
              <w:t>4</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1.442,0</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0,70</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135,8</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1.306,2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0,63</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2012</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688,0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w:t>
            </w:r>
            <w:r w:rsidR="00071668">
              <w:rPr>
                <w:rFonts w:ascii="Arial Narrow" w:hAnsi="Arial Narrow" w:cs="Arial"/>
                <w:sz w:val="16"/>
                <w:szCs w:val="16"/>
              </w:rPr>
              <w:t>36</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19.314,7</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10,1</w:t>
            </w:r>
            <w:r w:rsidR="00071668">
              <w:rPr>
                <w:rFonts w:ascii="Arial Narrow" w:hAnsi="Arial Narrow" w:cs="Arial"/>
                <w:sz w:val="16"/>
                <w:szCs w:val="16"/>
              </w:rPr>
              <w:t>0</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796,0</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0,42</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72,6</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723,4</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0,38</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2013</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634,7</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w:t>
            </w:r>
            <w:r w:rsidR="00071668">
              <w:rPr>
                <w:rFonts w:ascii="Arial Narrow" w:hAnsi="Arial Narrow" w:cs="Arial"/>
                <w:sz w:val="16"/>
                <w:szCs w:val="16"/>
              </w:rPr>
              <w:t>35</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17.234,4</w:t>
            </w:r>
          </w:p>
        </w:tc>
        <w:tc>
          <w:tcPr>
            <w:tcW w:w="976" w:type="dxa"/>
            <w:shd w:val="clear" w:color="auto" w:fill="auto"/>
            <w:noWrap/>
            <w:tcMar>
              <w:left w:w="28" w:type="dxa"/>
              <w:right w:w="28" w:type="dxa"/>
            </w:tcMar>
            <w:vAlign w:val="bottom"/>
          </w:tcPr>
          <w:p w:rsidR="00BA1AB3" w:rsidRPr="00C9023C"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9,5</w:t>
            </w:r>
            <w:r w:rsidR="00071668">
              <w:rPr>
                <w:rFonts w:ascii="Arial Narrow" w:hAnsi="Arial Narrow" w:cs="Arial"/>
                <w:sz w:val="16"/>
                <w:szCs w:val="16"/>
              </w:rPr>
              <w:t>4</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877,5</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0,49</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170,0</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707,5</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0,39</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2014</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536,6</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0,3</w:t>
            </w:r>
            <w:r w:rsidR="00071668">
              <w:rPr>
                <w:rFonts w:ascii="Arial Narrow" w:hAnsi="Arial Narrow" w:cs="Arial"/>
                <w:sz w:val="16"/>
                <w:szCs w:val="16"/>
              </w:rPr>
              <w:t>0</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16.315,0</w:t>
            </w:r>
          </w:p>
        </w:tc>
        <w:tc>
          <w:tcPr>
            <w:tcW w:w="976" w:type="dxa"/>
            <w:shd w:val="clear" w:color="auto" w:fill="auto"/>
            <w:noWrap/>
            <w:tcMar>
              <w:left w:w="28" w:type="dxa"/>
              <w:right w:w="28" w:type="dxa"/>
            </w:tcMar>
            <w:vAlign w:val="bottom"/>
          </w:tcPr>
          <w:p w:rsidR="00BA1AB3" w:rsidRPr="00071668"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9,</w:t>
            </w:r>
            <w:r>
              <w:rPr>
                <w:rFonts w:ascii="Arial Narrow" w:hAnsi="Arial Narrow" w:cs="Arial"/>
                <w:sz w:val="16"/>
                <w:szCs w:val="16"/>
                <w:lang w:val="en-US"/>
              </w:rPr>
              <w:t>1</w:t>
            </w:r>
            <w:r w:rsidR="00071668">
              <w:rPr>
                <w:rFonts w:ascii="Arial Narrow" w:hAnsi="Arial Narrow" w:cs="Arial"/>
                <w:sz w:val="16"/>
                <w:szCs w:val="16"/>
              </w:rPr>
              <w:t>3</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588,2</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0,33</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83,0</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505,2</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0,28</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Default="00BA1AB3" w:rsidP="003F7B07">
            <w:pPr>
              <w:jc w:val="center"/>
              <w:rPr>
                <w:rFonts w:ascii="Arial Narrow" w:hAnsi="Arial Narrow"/>
                <w:sz w:val="16"/>
                <w:szCs w:val="16"/>
              </w:rPr>
            </w:pPr>
            <w:r>
              <w:rPr>
                <w:rFonts w:ascii="Arial Narrow" w:hAnsi="Arial Narrow"/>
                <w:sz w:val="16"/>
                <w:szCs w:val="16"/>
              </w:rPr>
              <w:t>2015</w:t>
            </w:r>
          </w:p>
        </w:tc>
        <w:tc>
          <w:tcPr>
            <w:tcW w:w="665" w:type="dxa"/>
            <w:shd w:val="clear" w:color="auto" w:fill="auto"/>
            <w:noWrap/>
            <w:tcMar>
              <w:left w:w="28" w:type="dxa"/>
              <w:right w:w="28" w:type="dxa"/>
            </w:tcMar>
            <w:vAlign w:val="bottom"/>
          </w:tcPr>
          <w:p w:rsidR="00BA1AB3" w:rsidRPr="00C9023C" w:rsidRDefault="00BA1AB3" w:rsidP="003F7B07">
            <w:pPr>
              <w:tabs>
                <w:tab w:val="decimal" w:pos="412"/>
              </w:tabs>
              <w:jc w:val="both"/>
              <w:rPr>
                <w:rFonts w:ascii="Arial Narrow" w:hAnsi="Arial Narrow" w:cs="Arial"/>
                <w:sz w:val="16"/>
                <w:szCs w:val="16"/>
              </w:rPr>
            </w:pPr>
            <w:r w:rsidRPr="00C9023C">
              <w:rPr>
                <w:rFonts w:ascii="Arial Narrow" w:hAnsi="Arial Narrow" w:cs="Arial"/>
                <w:sz w:val="16"/>
                <w:szCs w:val="16"/>
              </w:rPr>
              <w:t>65,0</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0,04</w:t>
            </w:r>
          </w:p>
        </w:tc>
        <w:tc>
          <w:tcPr>
            <w:tcW w:w="976" w:type="dxa"/>
            <w:shd w:val="clear" w:color="auto" w:fill="auto"/>
            <w:noWrap/>
            <w:tcMar>
              <w:left w:w="28" w:type="dxa"/>
              <w:right w:w="28" w:type="dxa"/>
            </w:tcMar>
            <w:vAlign w:val="bottom"/>
          </w:tcPr>
          <w:p w:rsidR="00BA1AB3" w:rsidRPr="00C9023C" w:rsidRDefault="00BA1AB3" w:rsidP="003F7B07">
            <w:pPr>
              <w:tabs>
                <w:tab w:val="decimal" w:pos="614"/>
              </w:tabs>
              <w:jc w:val="both"/>
              <w:rPr>
                <w:rFonts w:ascii="Arial Narrow" w:hAnsi="Arial Narrow" w:cs="Arial"/>
                <w:sz w:val="16"/>
                <w:szCs w:val="16"/>
              </w:rPr>
            </w:pPr>
            <w:r w:rsidRPr="00C9023C">
              <w:rPr>
                <w:rFonts w:ascii="Arial Narrow" w:hAnsi="Arial Narrow" w:cs="Arial"/>
                <w:sz w:val="16"/>
                <w:szCs w:val="16"/>
              </w:rPr>
              <w:t>15.121,2</w:t>
            </w:r>
          </w:p>
        </w:tc>
        <w:tc>
          <w:tcPr>
            <w:tcW w:w="976" w:type="dxa"/>
            <w:shd w:val="clear" w:color="auto" w:fill="auto"/>
            <w:noWrap/>
            <w:tcMar>
              <w:left w:w="28" w:type="dxa"/>
              <w:right w:w="28" w:type="dxa"/>
            </w:tcMar>
            <w:vAlign w:val="bottom"/>
          </w:tcPr>
          <w:p w:rsidR="00BA1AB3" w:rsidRPr="00C9023C" w:rsidRDefault="00743481" w:rsidP="003F7B07">
            <w:pPr>
              <w:tabs>
                <w:tab w:val="decimal" w:pos="484"/>
              </w:tabs>
              <w:jc w:val="both"/>
              <w:rPr>
                <w:rFonts w:ascii="Arial Narrow" w:hAnsi="Arial Narrow" w:cs="Arial"/>
                <w:sz w:val="16"/>
                <w:szCs w:val="16"/>
              </w:rPr>
            </w:pPr>
            <w:r>
              <w:rPr>
                <w:rFonts w:ascii="Arial Narrow" w:hAnsi="Arial Narrow" w:cs="Arial"/>
                <w:sz w:val="16"/>
                <w:szCs w:val="16"/>
              </w:rPr>
              <w:t>8,5</w:t>
            </w:r>
            <w:r w:rsidR="00071668">
              <w:rPr>
                <w:rFonts w:ascii="Arial Narrow" w:hAnsi="Arial Narrow" w:cs="Arial"/>
                <w:sz w:val="16"/>
                <w:szCs w:val="16"/>
              </w:rPr>
              <w:t>3</w:t>
            </w:r>
          </w:p>
        </w:tc>
        <w:tc>
          <w:tcPr>
            <w:tcW w:w="781" w:type="dxa"/>
            <w:shd w:val="clear" w:color="auto" w:fill="auto"/>
            <w:noWrap/>
            <w:tcMar>
              <w:left w:w="28" w:type="dxa"/>
              <w:right w:w="28" w:type="dxa"/>
            </w:tcMar>
            <w:vAlign w:val="bottom"/>
          </w:tcPr>
          <w:p w:rsidR="00BA1AB3" w:rsidRPr="00C9023C" w:rsidRDefault="00BA1AB3" w:rsidP="003F7B07">
            <w:pPr>
              <w:tabs>
                <w:tab w:val="decimal" w:pos="408"/>
              </w:tabs>
              <w:jc w:val="both"/>
              <w:rPr>
                <w:rFonts w:ascii="Arial Narrow" w:hAnsi="Arial Narrow" w:cs="Arial"/>
                <w:sz w:val="16"/>
                <w:szCs w:val="16"/>
              </w:rPr>
            </w:pPr>
            <w:r w:rsidRPr="00C9023C">
              <w:rPr>
                <w:rFonts w:ascii="Arial Narrow" w:hAnsi="Arial Narrow" w:cs="Arial"/>
                <w:sz w:val="16"/>
                <w:szCs w:val="16"/>
              </w:rPr>
              <w:t>702,1</w:t>
            </w:r>
          </w:p>
        </w:tc>
        <w:tc>
          <w:tcPr>
            <w:tcW w:w="1171" w:type="dxa"/>
            <w:shd w:val="clear" w:color="auto" w:fill="auto"/>
            <w:noWrap/>
            <w:tcMar>
              <w:left w:w="28" w:type="dxa"/>
              <w:right w:w="28" w:type="dxa"/>
            </w:tcMar>
            <w:vAlign w:val="bottom"/>
          </w:tcPr>
          <w:p w:rsidR="00BA1AB3" w:rsidRPr="00C9023C"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0,40</w:t>
            </w:r>
          </w:p>
        </w:tc>
        <w:tc>
          <w:tcPr>
            <w:tcW w:w="1562" w:type="dxa"/>
            <w:shd w:val="clear" w:color="auto" w:fill="auto"/>
            <w:noWrap/>
            <w:tcMar>
              <w:left w:w="28" w:type="dxa"/>
              <w:right w:w="28" w:type="dxa"/>
            </w:tcMar>
            <w:vAlign w:val="bottom"/>
          </w:tcPr>
          <w:p w:rsidR="00BA1AB3" w:rsidRPr="00C9023C" w:rsidRDefault="00BA1AB3" w:rsidP="003F7B07">
            <w:pPr>
              <w:tabs>
                <w:tab w:val="decimal" w:pos="776"/>
              </w:tabs>
              <w:jc w:val="both"/>
              <w:rPr>
                <w:rFonts w:ascii="Arial Narrow" w:hAnsi="Arial Narrow" w:cs="Arial"/>
                <w:sz w:val="16"/>
                <w:szCs w:val="16"/>
              </w:rPr>
            </w:pPr>
            <w:r w:rsidRPr="00C9023C">
              <w:rPr>
                <w:rFonts w:ascii="Arial Narrow" w:hAnsi="Arial Narrow" w:cs="Arial"/>
                <w:sz w:val="16"/>
                <w:szCs w:val="16"/>
              </w:rPr>
              <w:t>72,0</w:t>
            </w:r>
          </w:p>
        </w:tc>
        <w:tc>
          <w:tcPr>
            <w:tcW w:w="781" w:type="dxa"/>
            <w:shd w:val="clear" w:color="auto" w:fill="auto"/>
            <w:noWrap/>
            <w:tcMar>
              <w:left w:w="28" w:type="dxa"/>
              <w:right w:w="28" w:type="dxa"/>
            </w:tcMar>
            <w:vAlign w:val="bottom"/>
          </w:tcPr>
          <w:p w:rsidR="00BA1AB3" w:rsidRPr="00C9023C" w:rsidRDefault="00BA1AB3" w:rsidP="003F7B07">
            <w:pPr>
              <w:tabs>
                <w:tab w:val="decimal" w:pos="407"/>
              </w:tabs>
              <w:jc w:val="both"/>
              <w:rPr>
                <w:rFonts w:ascii="Arial Narrow" w:hAnsi="Arial Narrow" w:cs="Arial"/>
                <w:sz w:val="16"/>
                <w:szCs w:val="16"/>
              </w:rPr>
            </w:pPr>
            <w:r w:rsidRPr="00C9023C">
              <w:rPr>
                <w:rFonts w:ascii="Arial Narrow" w:hAnsi="Arial Narrow" w:cs="Arial"/>
                <w:sz w:val="16"/>
                <w:szCs w:val="16"/>
              </w:rPr>
              <w:t>630,1</w:t>
            </w:r>
          </w:p>
        </w:tc>
        <w:tc>
          <w:tcPr>
            <w:tcW w:w="976" w:type="dxa"/>
            <w:tcBorders>
              <w:right w:val="single" w:sz="6" w:space="0" w:color="auto"/>
            </w:tcBorders>
            <w:shd w:val="clear" w:color="auto" w:fill="auto"/>
            <w:noWrap/>
            <w:tcMar>
              <w:left w:w="28" w:type="dxa"/>
              <w:right w:w="28" w:type="dxa"/>
            </w:tcMar>
            <w:vAlign w:val="bottom"/>
          </w:tcPr>
          <w:p w:rsidR="00BA1AB3" w:rsidRPr="00C9023C" w:rsidRDefault="00BA1AB3" w:rsidP="003F7B07">
            <w:pPr>
              <w:tabs>
                <w:tab w:val="decimal" w:pos="453"/>
              </w:tabs>
              <w:jc w:val="both"/>
              <w:rPr>
                <w:rFonts w:ascii="Arial Narrow" w:hAnsi="Arial Narrow" w:cs="Arial"/>
                <w:sz w:val="16"/>
                <w:szCs w:val="16"/>
              </w:rPr>
            </w:pPr>
            <w:r w:rsidRPr="00C9023C">
              <w:rPr>
                <w:rFonts w:ascii="Arial Narrow" w:hAnsi="Arial Narrow" w:cs="Arial"/>
                <w:sz w:val="16"/>
                <w:szCs w:val="16"/>
              </w:rPr>
              <w:t>0,36</w:t>
            </w:r>
          </w:p>
        </w:tc>
      </w:tr>
      <w:tr w:rsidR="00BA1AB3" w:rsidRPr="009367DF" w:rsidTr="003F7B07">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8F6256" w:rsidRDefault="00BA1AB3" w:rsidP="003F7B07">
            <w:pPr>
              <w:jc w:val="center"/>
              <w:rPr>
                <w:rFonts w:ascii="Arial Narrow" w:hAnsi="Arial Narrow"/>
                <w:sz w:val="16"/>
                <w:szCs w:val="16"/>
                <w:lang w:val="en-US"/>
              </w:rPr>
            </w:pPr>
            <w:r>
              <w:rPr>
                <w:rFonts w:ascii="Arial Narrow" w:hAnsi="Arial Narrow"/>
                <w:sz w:val="16"/>
                <w:szCs w:val="16"/>
              </w:rPr>
              <w:t>2016</w:t>
            </w:r>
          </w:p>
        </w:tc>
        <w:tc>
          <w:tcPr>
            <w:tcW w:w="665" w:type="dxa"/>
            <w:shd w:val="clear" w:color="auto" w:fill="auto"/>
            <w:noWrap/>
            <w:tcMar>
              <w:left w:w="28" w:type="dxa"/>
              <w:right w:w="28" w:type="dxa"/>
            </w:tcMar>
            <w:vAlign w:val="bottom"/>
          </w:tcPr>
          <w:p w:rsidR="00BA1AB3" w:rsidRPr="008F6256" w:rsidRDefault="00BA1AB3" w:rsidP="003F7B07">
            <w:pPr>
              <w:tabs>
                <w:tab w:val="decimal" w:pos="412"/>
              </w:tabs>
              <w:jc w:val="both"/>
              <w:rPr>
                <w:rFonts w:ascii="Arial Narrow" w:hAnsi="Arial Narrow" w:cs="Arial"/>
                <w:sz w:val="16"/>
                <w:szCs w:val="16"/>
                <w:lang w:val="en-US"/>
              </w:rPr>
            </w:pPr>
            <w:r w:rsidRPr="00C9023C">
              <w:rPr>
                <w:rFonts w:ascii="Arial Narrow" w:hAnsi="Arial Narrow" w:cs="Arial"/>
                <w:sz w:val="16"/>
                <w:szCs w:val="16"/>
              </w:rPr>
              <w:t>1</w:t>
            </w:r>
            <w:r>
              <w:rPr>
                <w:rFonts w:ascii="Arial Narrow" w:hAnsi="Arial Narrow" w:cs="Arial"/>
                <w:sz w:val="16"/>
                <w:szCs w:val="16"/>
                <w:lang w:val="en-US"/>
              </w:rPr>
              <w:t>62,9</w:t>
            </w:r>
          </w:p>
        </w:tc>
        <w:tc>
          <w:tcPr>
            <w:tcW w:w="781" w:type="dxa"/>
            <w:shd w:val="clear" w:color="auto" w:fill="auto"/>
            <w:noWrap/>
            <w:tcMar>
              <w:left w:w="28" w:type="dxa"/>
              <w:right w:w="28" w:type="dxa"/>
            </w:tcMar>
            <w:vAlign w:val="bottom"/>
          </w:tcPr>
          <w:p w:rsidR="00BA1AB3" w:rsidRPr="00C9023C" w:rsidRDefault="00BA1AB3" w:rsidP="003F7B07">
            <w:pPr>
              <w:tabs>
                <w:tab w:val="decimal" w:pos="374"/>
              </w:tabs>
              <w:jc w:val="both"/>
              <w:rPr>
                <w:rFonts w:ascii="Arial Narrow" w:hAnsi="Arial Narrow" w:cs="Arial"/>
                <w:sz w:val="16"/>
                <w:szCs w:val="16"/>
              </w:rPr>
            </w:pPr>
            <w:r w:rsidRPr="00C9023C">
              <w:rPr>
                <w:rFonts w:ascii="Arial Narrow" w:hAnsi="Arial Narrow" w:cs="Arial"/>
                <w:sz w:val="16"/>
                <w:szCs w:val="16"/>
              </w:rPr>
              <w:t>0,09</w:t>
            </w:r>
          </w:p>
        </w:tc>
        <w:tc>
          <w:tcPr>
            <w:tcW w:w="976" w:type="dxa"/>
            <w:shd w:val="clear" w:color="auto" w:fill="auto"/>
            <w:noWrap/>
            <w:tcMar>
              <w:left w:w="28" w:type="dxa"/>
              <w:right w:w="28" w:type="dxa"/>
            </w:tcMar>
            <w:vAlign w:val="bottom"/>
          </w:tcPr>
          <w:p w:rsidR="00BA1AB3" w:rsidRPr="00E455F0" w:rsidRDefault="00BA1AB3" w:rsidP="003F7B07">
            <w:pPr>
              <w:tabs>
                <w:tab w:val="decimal" w:pos="614"/>
              </w:tabs>
              <w:jc w:val="both"/>
              <w:rPr>
                <w:rFonts w:ascii="Arial Narrow" w:hAnsi="Arial Narrow" w:cs="Arial"/>
                <w:sz w:val="16"/>
                <w:szCs w:val="16"/>
                <w:lang w:val="en-US"/>
              </w:rPr>
            </w:pPr>
            <w:r w:rsidRPr="00C9023C">
              <w:rPr>
                <w:rFonts w:ascii="Arial Narrow" w:hAnsi="Arial Narrow" w:cs="Arial"/>
                <w:sz w:val="16"/>
                <w:szCs w:val="16"/>
              </w:rPr>
              <w:t>1</w:t>
            </w:r>
            <w:r>
              <w:rPr>
                <w:rFonts w:ascii="Arial Narrow" w:hAnsi="Arial Narrow" w:cs="Arial"/>
                <w:sz w:val="16"/>
                <w:szCs w:val="16"/>
                <w:lang w:val="en-US"/>
              </w:rPr>
              <w:t>3.122,9</w:t>
            </w:r>
          </w:p>
        </w:tc>
        <w:tc>
          <w:tcPr>
            <w:tcW w:w="976" w:type="dxa"/>
            <w:shd w:val="clear" w:color="auto" w:fill="auto"/>
            <w:noWrap/>
            <w:tcMar>
              <w:left w:w="28" w:type="dxa"/>
              <w:right w:w="28" w:type="dxa"/>
            </w:tcMar>
            <w:vAlign w:val="bottom"/>
          </w:tcPr>
          <w:p w:rsidR="00BA1AB3" w:rsidRPr="00743481" w:rsidRDefault="00BA1AB3" w:rsidP="003F7B07">
            <w:pPr>
              <w:tabs>
                <w:tab w:val="decimal" w:pos="484"/>
              </w:tabs>
              <w:jc w:val="both"/>
              <w:rPr>
                <w:rFonts w:ascii="Arial Narrow" w:hAnsi="Arial Narrow" w:cs="Arial"/>
                <w:sz w:val="16"/>
                <w:szCs w:val="16"/>
              </w:rPr>
            </w:pPr>
            <w:r w:rsidRPr="00C9023C">
              <w:rPr>
                <w:rFonts w:ascii="Arial Narrow" w:hAnsi="Arial Narrow" w:cs="Arial"/>
                <w:sz w:val="16"/>
                <w:szCs w:val="16"/>
              </w:rPr>
              <w:t>7,</w:t>
            </w:r>
            <w:r w:rsidR="00743481">
              <w:rPr>
                <w:rFonts w:ascii="Arial Narrow" w:hAnsi="Arial Narrow" w:cs="Arial"/>
                <w:sz w:val="16"/>
                <w:szCs w:val="16"/>
              </w:rPr>
              <w:t>4</w:t>
            </w:r>
            <w:r w:rsidR="00071668">
              <w:rPr>
                <w:rFonts w:ascii="Arial Narrow" w:hAnsi="Arial Narrow" w:cs="Arial"/>
                <w:sz w:val="16"/>
                <w:szCs w:val="16"/>
              </w:rPr>
              <w:t>4</w:t>
            </w:r>
          </w:p>
        </w:tc>
        <w:tc>
          <w:tcPr>
            <w:tcW w:w="781" w:type="dxa"/>
            <w:shd w:val="clear" w:color="auto" w:fill="auto"/>
            <w:noWrap/>
            <w:tcMar>
              <w:left w:w="28" w:type="dxa"/>
              <w:right w:w="28" w:type="dxa"/>
            </w:tcMar>
            <w:vAlign w:val="bottom"/>
          </w:tcPr>
          <w:p w:rsidR="00BA1AB3" w:rsidRPr="00E455F0" w:rsidRDefault="00BA1AB3" w:rsidP="003F7B07">
            <w:pPr>
              <w:tabs>
                <w:tab w:val="decimal" w:pos="408"/>
              </w:tabs>
              <w:jc w:val="both"/>
              <w:rPr>
                <w:rFonts w:ascii="Arial Narrow" w:hAnsi="Arial Narrow" w:cs="Arial"/>
                <w:sz w:val="16"/>
                <w:szCs w:val="16"/>
                <w:lang w:val="en-US"/>
              </w:rPr>
            </w:pPr>
            <w:r>
              <w:rPr>
                <w:rFonts w:ascii="Arial Narrow" w:hAnsi="Arial Narrow" w:cs="Arial"/>
                <w:sz w:val="16"/>
                <w:szCs w:val="16"/>
                <w:lang w:val="en-US"/>
              </w:rPr>
              <w:t>412,3</w:t>
            </w:r>
          </w:p>
        </w:tc>
        <w:tc>
          <w:tcPr>
            <w:tcW w:w="1171" w:type="dxa"/>
            <w:shd w:val="clear" w:color="auto" w:fill="auto"/>
            <w:noWrap/>
            <w:tcMar>
              <w:left w:w="28" w:type="dxa"/>
              <w:right w:w="28" w:type="dxa"/>
            </w:tcMar>
            <w:vAlign w:val="bottom"/>
          </w:tcPr>
          <w:p w:rsidR="00BA1AB3" w:rsidRPr="00743481" w:rsidRDefault="00BA1AB3" w:rsidP="003F7B07">
            <w:pPr>
              <w:tabs>
                <w:tab w:val="decimal" w:pos="573"/>
              </w:tabs>
              <w:jc w:val="both"/>
              <w:rPr>
                <w:rFonts w:ascii="Arial Narrow" w:hAnsi="Arial Narrow" w:cs="Arial"/>
                <w:sz w:val="16"/>
                <w:szCs w:val="16"/>
              </w:rPr>
            </w:pPr>
            <w:r w:rsidRPr="00C9023C">
              <w:rPr>
                <w:rFonts w:ascii="Arial Narrow" w:hAnsi="Arial Narrow" w:cs="Arial"/>
                <w:sz w:val="16"/>
                <w:szCs w:val="16"/>
              </w:rPr>
              <w:t>0,2</w:t>
            </w:r>
            <w:r w:rsidR="00743481">
              <w:rPr>
                <w:rFonts w:ascii="Arial Narrow" w:hAnsi="Arial Narrow" w:cs="Arial"/>
                <w:sz w:val="16"/>
                <w:szCs w:val="16"/>
              </w:rPr>
              <w:t>3</w:t>
            </w:r>
          </w:p>
        </w:tc>
        <w:tc>
          <w:tcPr>
            <w:tcW w:w="1562" w:type="dxa"/>
            <w:shd w:val="clear" w:color="auto" w:fill="auto"/>
            <w:noWrap/>
            <w:tcMar>
              <w:left w:w="28" w:type="dxa"/>
              <w:right w:w="28" w:type="dxa"/>
            </w:tcMar>
            <w:vAlign w:val="bottom"/>
          </w:tcPr>
          <w:p w:rsidR="00BA1AB3" w:rsidRPr="00E455F0" w:rsidRDefault="00BA1AB3" w:rsidP="003F7B07">
            <w:pPr>
              <w:tabs>
                <w:tab w:val="decimal" w:pos="776"/>
              </w:tabs>
              <w:jc w:val="both"/>
              <w:rPr>
                <w:rFonts w:ascii="Arial Narrow" w:hAnsi="Arial Narrow" w:cs="Arial"/>
                <w:sz w:val="16"/>
                <w:szCs w:val="16"/>
                <w:lang w:val="en-US"/>
              </w:rPr>
            </w:pPr>
            <w:r>
              <w:rPr>
                <w:rFonts w:ascii="Arial Narrow" w:hAnsi="Arial Narrow" w:cs="Arial"/>
                <w:sz w:val="16"/>
                <w:szCs w:val="16"/>
                <w:lang w:val="en-US"/>
              </w:rPr>
              <w:t>108,4</w:t>
            </w:r>
          </w:p>
        </w:tc>
        <w:tc>
          <w:tcPr>
            <w:tcW w:w="781" w:type="dxa"/>
            <w:shd w:val="clear" w:color="auto" w:fill="auto"/>
            <w:noWrap/>
            <w:tcMar>
              <w:left w:w="28" w:type="dxa"/>
              <w:right w:w="28" w:type="dxa"/>
            </w:tcMar>
            <w:vAlign w:val="bottom"/>
          </w:tcPr>
          <w:p w:rsidR="00BA1AB3" w:rsidRPr="00E455F0" w:rsidRDefault="00BA1AB3" w:rsidP="003F7B07">
            <w:pPr>
              <w:tabs>
                <w:tab w:val="decimal" w:pos="407"/>
              </w:tabs>
              <w:jc w:val="both"/>
              <w:rPr>
                <w:rFonts w:ascii="Arial Narrow" w:hAnsi="Arial Narrow" w:cs="Arial"/>
                <w:sz w:val="16"/>
                <w:szCs w:val="16"/>
                <w:lang w:val="en-US"/>
              </w:rPr>
            </w:pPr>
            <w:r>
              <w:rPr>
                <w:rFonts w:ascii="Arial Narrow" w:hAnsi="Arial Narrow" w:cs="Arial"/>
                <w:sz w:val="16"/>
                <w:szCs w:val="16"/>
                <w:lang w:val="en-US"/>
              </w:rPr>
              <w:t>303,9</w:t>
            </w:r>
          </w:p>
        </w:tc>
        <w:tc>
          <w:tcPr>
            <w:tcW w:w="976" w:type="dxa"/>
            <w:tcBorders>
              <w:right w:val="single" w:sz="6" w:space="0" w:color="auto"/>
            </w:tcBorders>
            <w:shd w:val="clear" w:color="auto" w:fill="auto"/>
            <w:noWrap/>
            <w:tcMar>
              <w:left w:w="28" w:type="dxa"/>
              <w:right w:w="28" w:type="dxa"/>
            </w:tcMar>
            <w:vAlign w:val="bottom"/>
          </w:tcPr>
          <w:p w:rsidR="00BA1AB3" w:rsidRPr="00E455F0" w:rsidRDefault="00BA1AB3" w:rsidP="003F7B07">
            <w:pPr>
              <w:tabs>
                <w:tab w:val="decimal" w:pos="453"/>
              </w:tabs>
              <w:jc w:val="both"/>
              <w:rPr>
                <w:rFonts w:ascii="Arial Narrow" w:hAnsi="Arial Narrow" w:cs="Arial"/>
                <w:sz w:val="16"/>
                <w:szCs w:val="16"/>
                <w:lang w:val="en-US"/>
              </w:rPr>
            </w:pPr>
            <w:r w:rsidRPr="00C9023C">
              <w:rPr>
                <w:rFonts w:ascii="Arial Narrow" w:hAnsi="Arial Narrow" w:cs="Arial"/>
                <w:sz w:val="16"/>
                <w:szCs w:val="16"/>
              </w:rPr>
              <w:t>0,1</w:t>
            </w:r>
            <w:r>
              <w:rPr>
                <w:rFonts w:ascii="Arial Narrow" w:hAnsi="Arial Narrow" w:cs="Arial"/>
                <w:sz w:val="16"/>
                <w:szCs w:val="16"/>
                <w:lang w:val="en-US"/>
              </w:rPr>
              <w:t>7</w:t>
            </w:r>
          </w:p>
        </w:tc>
      </w:tr>
      <w:tr w:rsidR="00BA1AB3" w:rsidRPr="009367DF" w:rsidTr="00A3455D">
        <w:trPr>
          <w:trHeight w:val="224"/>
          <w:jc w:val="center"/>
        </w:trPr>
        <w:tc>
          <w:tcPr>
            <w:tcW w:w="810" w:type="dxa"/>
            <w:tcBorders>
              <w:left w:val="single" w:sz="6" w:space="0" w:color="auto"/>
            </w:tcBorders>
            <w:shd w:val="clear" w:color="auto" w:fill="auto"/>
            <w:noWrap/>
            <w:tcMar>
              <w:left w:w="28" w:type="dxa"/>
              <w:right w:w="28" w:type="dxa"/>
            </w:tcMar>
            <w:vAlign w:val="bottom"/>
          </w:tcPr>
          <w:p w:rsidR="00BA1AB3" w:rsidRPr="00A3455D" w:rsidRDefault="00BA1AB3" w:rsidP="003F7B07">
            <w:pPr>
              <w:jc w:val="center"/>
              <w:rPr>
                <w:rFonts w:ascii="Arial Narrow" w:hAnsi="Arial Narrow"/>
                <w:sz w:val="16"/>
                <w:szCs w:val="16"/>
              </w:rPr>
            </w:pPr>
            <w:r>
              <w:rPr>
                <w:rFonts w:ascii="Arial Narrow" w:hAnsi="Arial Narrow"/>
                <w:sz w:val="16"/>
                <w:szCs w:val="16"/>
                <w:lang w:val="en-US"/>
              </w:rPr>
              <w:t>2017</w:t>
            </w:r>
          </w:p>
        </w:tc>
        <w:tc>
          <w:tcPr>
            <w:tcW w:w="665" w:type="dxa"/>
            <w:shd w:val="clear" w:color="auto" w:fill="auto"/>
            <w:noWrap/>
            <w:tcMar>
              <w:left w:w="28" w:type="dxa"/>
              <w:right w:w="28" w:type="dxa"/>
            </w:tcMar>
            <w:vAlign w:val="bottom"/>
          </w:tcPr>
          <w:p w:rsidR="00BA1AB3" w:rsidRPr="008F6256" w:rsidRDefault="00BA1AB3" w:rsidP="003F7B07">
            <w:pPr>
              <w:tabs>
                <w:tab w:val="decimal" w:pos="412"/>
              </w:tabs>
              <w:jc w:val="both"/>
              <w:rPr>
                <w:rFonts w:ascii="Arial Narrow" w:hAnsi="Arial Narrow" w:cs="Arial"/>
                <w:sz w:val="16"/>
                <w:szCs w:val="16"/>
                <w:lang w:val="en-US"/>
              </w:rPr>
            </w:pPr>
            <w:r>
              <w:rPr>
                <w:rFonts w:ascii="Arial Narrow" w:hAnsi="Arial Narrow" w:cs="Arial"/>
                <w:sz w:val="16"/>
                <w:szCs w:val="16"/>
                <w:lang w:val="en-US"/>
              </w:rPr>
              <w:t>266,6</w:t>
            </w:r>
          </w:p>
        </w:tc>
        <w:tc>
          <w:tcPr>
            <w:tcW w:w="781" w:type="dxa"/>
            <w:shd w:val="clear" w:color="auto" w:fill="auto"/>
            <w:noWrap/>
            <w:tcMar>
              <w:left w:w="28" w:type="dxa"/>
              <w:right w:w="28" w:type="dxa"/>
            </w:tcMar>
            <w:vAlign w:val="bottom"/>
          </w:tcPr>
          <w:p w:rsidR="00BA1AB3" w:rsidRPr="00E455F0" w:rsidRDefault="00BA1AB3" w:rsidP="003F7B07">
            <w:pPr>
              <w:tabs>
                <w:tab w:val="decimal" w:pos="374"/>
              </w:tabs>
              <w:jc w:val="both"/>
              <w:rPr>
                <w:rFonts w:ascii="Arial Narrow" w:hAnsi="Arial Narrow" w:cs="Arial"/>
                <w:sz w:val="16"/>
                <w:szCs w:val="16"/>
                <w:lang w:val="en-US"/>
              </w:rPr>
            </w:pPr>
            <w:r>
              <w:rPr>
                <w:rFonts w:ascii="Arial Narrow" w:hAnsi="Arial Narrow" w:cs="Arial"/>
                <w:sz w:val="16"/>
                <w:szCs w:val="16"/>
                <w:lang w:val="en-US"/>
              </w:rPr>
              <w:t>0,15</w:t>
            </w:r>
          </w:p>
        </w:tc>
        <w:tc>
          <w:tcPr>
            <w:tcW w:w="976" w:type="dxa"/>
            <w:shd w:val="clear" w:color="auto" w:fill="auto"/>
            <w:noWrap/>
            <w:tcMar>
              <w:left w:w="28" w:type="dxa"/>
              <w:right w:w="28" w:type="dxa"/>
            </w:tcMar>
            <w:vAlign w:val="bottom"/>
          </w:tcPr>
          <w:p w:rsidR="00BA1AB3" w:rsidRPr="00743481" w:rsidRDefault="00BA1AB3" w:rsidP="00743481">
            <w:pPr>
              <w:tabs>
                <w:tab w:val="decimal" w:pos="614"/>
              </w:tabs>
              <w:jc w:val="both"/>
              <w:rPr>
                <w:rFonts w:ascii="Arial Narrow" w:hAnsi="Arial Narrow" w:cs="Arial"/>
                <w:sz w:val="16"/>
                <w:szCs w:val="16"/>
              </w:rPr>
            </w:pPr>
            <w:r>
              <w:rPr>
                <w:rFonts w:ascii="Arial Narrow" w:hAnsi="Arial Narrow" w:cs="Arial"/>
                <w:sz w:val="16"/>
                <w:szCs w:val="16"/>
                <w:lang w:val="en-US"/>
              </w:rPr>
              <w:t>11.</w:t>
            </w:r>
            <w:r w:rsidR="00743481">
              <w:rPr>
                <w:rFonts w:ascii="Arial Narrow" w:hAnsi="Arial Narrow" w:cs="Arial"/>
                <w:sz w:val="16"/>
                <w:szCs w:val="16"/>
              </w:rPr>
              <w:t>546,4</w:t>
            </w:r>
          </w:p>
        </w:tc>
        <w:tc>
          <w:tcPr>
            <w:tcW w:w="976" w:type="dxa"/>
            <w:shd w:val="clear" w:color="auto" w:fill="auto"/>
            <w:noWrap/>
            <w:tcMar>
              <w:left w:w="28" w:type="dxa"/>
              <w:right w:w="28" w:type="dxa"/>
            </w:tcMar>
            <w:vAlign w:val="bottom"/>
          </w:tcPr>
          <w:p w:rsidR="00BA1AB3" w:rsidRPr="00071668" w:rsidRDefault="00743481" w:rsidP="003F7B07">
            <w:pPr>
              <w:tabs>
                <w:tab w:val="decimal" w:pos="484"/>
              </w:tabs>
              <w:jc w:val="both"/>
              <w:rPr>
                <w:rFonts w:ascii="Arial Narrow" w:hAnsi="Arial Narrow" w:cs="Arial"/>
                <w:sz w:val="16"/>
                <w:szCs w:val="16"/>
              </w:rPr>
            </w:pPr>
            <w:r>
              <w:rPr>
                <w:rFonts w:ascii="Arial Narrow" w:hAnsi="Arial Narrow" w:cs="Arial"/>
                <w:sz w:val="16"/>
                <w:szCs w:val="16"/>
                <w:lang w:val="en-US"/>
              </w:rPr>
              <w:t>6,4</w:t>
            </w:r>
            <w:r w:rsidR="00071668">
              <w:rPr>
                <w:rFonts w:ascii="Arial Narrow" w:hAnsi="Arial Narrow" w:cs="Arial"/>
                <w:sz w:val="16"/>
                <w:szCs w:val="16"/>
              </w:rPr>
              <w:t>1</w:t>
            </w:r>
          </w:p>
        </w:tc>
        <w:tc>
          <w:tcPr>
            <w:tcW w:w="781" w:type="dxa"/>
            <w:shd w:val="clear" w:color="auto" w:fill="auto"/>
            <w:noWrap/>
            <w:tcMar>
              <w:left w:w="28" w:type="dxa"/>
              <w:right w:w="28" w:type="dxa"/>
            </w:tcMar>
            <w:vAlign w:val="bottom"/>
          </w:tcPr>
          <w:p w:rsidR="00BA1AB3" w:rsidRPr="00743481" w:rsidRDefault="00BA1AB3" w:rsidP="003F7B07">
            <w:pPr>
              <w:tabs>
                <w:tab w:val="decimal" w:pos="408"/>
              </w:tabs>
              <w:jc w:val="both"/>
              <w:rPr>
                <w:rFonts w:ascii="Arial Narrow" w:hAnsi="Arial Narrow" w:cs="Arial"/>
                <w:sz w:val="16"/>
                <w:szCs w:val="16"/>
              </w:rPr>
            </w:pPr>
            <w:r>
              <w:rPr>
                <w:rFonts w:ascii="Arial Narrow" w:hAnsi="Arial Narrow" w:cs="Arial"/>
                <w:sz w:val="16"/>
                <w:szCs w:val="16"/>
                <w:lang w:val="en-US"/>
              </w:rPr>
              <w:t>67</w:t>
            </w:r>
            <w:r w:rsidR="00743481">
              <w:rPr>
                <w:rFonts w:ascii="Arial Narrow" w:hAnsi="Arial Narrow" w:cs="Arial"/>
                <w:sz w:val="16"/>
                <w:szCs w:val="16"/>
              </w:rPr>
              <w:t>6,7</w:t>
            </w:r>
          </w:p>
        </w:tc>
        <w:tc>
          <w:tcPr>
            <w:tcW w:w="1171" w:type="dxa"/>
            <w:shd w:val="clear" w:color="auto" w:fill="auto"/>
            <w:noWrap/>
            <w:tcMar>
              <w:left w:w="28" w:type="dxa"/>
              <w:right w:w="28" w:type="dxa"/>
            </w:tcMar>
            <w:vAlign w:val="bottom"/>
          </w:tcPr>
          <w:p w:rsidR="00BA1AB3" w:rsidRPr="00E455F0" w:rsidRDefault="00BA1AB3" w:rsidP="003F7B07">
            <w:pPr>
              <w:tabs>
                <w:tab w:val="decimal" w:pos="573"/>
              </w:tabs>
              <w:jc w:val="both"/>
              <w:rPr>
                <w:rFonts w:ascii="Arial Narrow" w:hAnsi="Arial Narrow" w:cs="Arial"/>
                <w:sz w:val="16"/>
                <w:szCs w:val="16"/>
                <w:lang w:val="en-US"/>
              </w:rPr>
            </w:pPr>
            <w:r>
              <w:rPr>
                <w:rFonts w:ascii="Arial Narrow" w:hAnsi="Arial Narrow" w:cs="Arial"/>
                <w:sz w:val="16"/>
                <w:szCs w:val="16"/>
                <w:lang w:val="en-US"/>
              </w:rPr>
              <w:t>0,38</w:t>
            </w:r>
          </w:p>
        </w:tc>
        <w:tc>
          <w:tcPr>
            <w:tcW w:w="1562" w:type="dxa"/>
            <w:shd w:val="clear" w:color="auto" w:fill="auto"/>
            <w:noWrap/>
            <w:tcMar>
              <w:left w:w="28" w:type="dxa"/>
              <w:right w:w="28" w:type="dxa"/>
            </w:tcMar>
            <w:vAlign w:val="bottom"/>
          </w:tcPr>
          <w:p w:rsidR="00BA1AB3" w:rsidRPr="00743481" w:rsidRDefault="00743481" w:rsidP="003F7B07">
            <w:pPr>
              <w:tabs>
                <w:tab w:val="decimal" w:pos="776"/>
              </w:tabs>
              <w:jc w:val="both"/>
              <w:rPr>
                <w:rFonts w:ascii="Arial Narrow" w:hAnsi="Arial Narrow" w:cs="Arial"/>
                <w:sz w:val="16"/>
                <w:szCs w:val="16"/>
              </w:rPr>
            </w:pPr>
            <w:r>
              <w:rPr>
                <w:rFonts w:ascii="Arial Narrow" w:hAnsi="Arial Narrow" w:cs="Arial"/>
                <w:sz w:val="16"/>
                <w:szCs w:val="16"/>
              </w:rPr>
              <w:t>57,4</w:t>
            </w:r>
          </w:p>
        </w:tc>
        <w:tc>
          <w:tcPr>
            <w:tcW w:w="781" w:type="dxa"/>
            <w:shd w:val="clear" w:color="auto" w:fill="auto"/>
            <w:noWrap/>
            <w:tcMar>
              <w:left w:w="28" w:type="dxa"/>
              <w:right w:w="28" w:type="dxa"/>
            </w:tcMar>
            <w:vAlign w:val="bottom"/>
          </w:tcPr>
          <w:p w:rsidR="00BA1AB3" w:rsidRPr="00743481" w:rsidRDefault="00743481" w:rsidP="003F7B07">
            <w:pPr>
              <w:tabs>
                <w:tab w:val="decimal" w:pos="407"/>
              </w:tabs>
              <w:jc w:val="both"/>
              <w:rPr>
                <w:rFonts w:ascii="Arial Narrow" w:hAnsi="Arial Narrow" w:cs="Arial"/>
                <w:sz w:val="16"/>
                <w:szCs w:val="16"/>
              </w:rPr>
            </w:pPr>
            <w:r>
              <w:rPr>
                <w:rFonts w:ascii="Arial Narrow" w:hAnsi="Arial Narrow" w:cs="Arial"/>
                <w:sz w:val="16"/>
                <w:szCs w:val="16"/>
              </w:rPr>
              <w:t>619,3</w:t>
            </w:r>
          </w:p>
        </w:tc>
        <w:tc>
          <w:tcPr>
            <w:tcW w:w="976" w:type="dxa"/>
            <w:tcBorders>
              <w:right w:val="single" w:sz="6" w:space="0" w:color="auto"/>
            </w:tcBorders>
            <w:shd w:val="clear" w:color="auto" w:fill="auto"/>
            <w:noWrap/>
            <w:tcMar>
              <w:left w:w="28" w:type="dxa"/>
              <w:right w:w="28" w:type="dxa"/>
            </w:tcMar>
            <w:vAlign w:val="bottom"/>
          </w:tcPr>
          <w:p w:rsidR="00BA1AB3" w:rsidRPr="00E455F0" w:rsidRDefault="00BA1AB3" w:rsidP="003F7B07">
            <w:pPr>
              <w:tabs>
                <w:tab w:val="decimal" w:pos="453"/>
              </w:tabs>
              <w:jc w:val="both"/>
              <w:rPr>
                <w:rFonts w:ascii="Arial Narrow" w:hAnsi="Arial Narrow" w:cs="Arial"/>
                <w:sz w:val="16"/>
                <w:szCs w:val="16"/>
                <w:lang w:val="en-US"/>
              </w:rPr>
            </w:pPr>
            <w:r>
              <w:rPr>
                <w:rFonts w:ascii="Arial Narrow" w:hAnsi="Arial Narrow" w:cs="Arial"/>
                <w:sz w:val="16"/>
                <w:szCs w:val="16"/>
                <w:lang w:val="en-US"/>
              </w:rPr>
              <w:t>0,34</w:t>
            </w:r>
          </w:p>
        </w:tc>
      </w:tr>
      <w:tr w:rsidR="00A3455D" w:rsidRPr="009367DF" w:rsidTr="00CA3A0E">
        <w:trPr>
          <w:trHeight w:val="224"/>
          <w:jc w:val="center"/>
        </w:trPr>
        <w:tc>
          <w:tcPr>
            <w:tcW w:w="810" w:type="dxa"/>
            <w:tcBorders>
              <w:left w:val="single" w:sz="6" w:space="0" w:color="auto"/>
            </w:tcBorders>
            <w:shd w:val="clear" w:color="auto" w:fill="auto"/>
            <w:noWrap/>
            <w:tcMar>
              <w:left w:w="28" w:type="dxa"/>
              <w:right w:w="28" w:type="dxa"/>
            </w:tcMar>
            <w:vAlign w:val="bottom"/>
          </w:tcPr>
          <w:p w:rsidR="00A3455D" w:rsidRPr="00CA3A0E" w:rsidRDefault="00CA3A0E" w:rsidP="003F7B07">
            <w:pPr>
              <w:jc w:val="center"/>
              <w:rPr>
                <w:rFonts w:ascii="Arial Narrow" w:hAnsi="Arial Narrow"/>
                <w:sz w:val="16"/>
                <w:szCs w:val="16"/>
                <w:lang w:val="en-US"/>
              </w:rPr>
            </w:pPr>
            <w:r>
              <w:rPr>
                <w:rFonts w:ascii="Arial Narrow" w:hAnsi="Arial Narrow"/>
                <w:sz w:val="16"/>
                <w:szCs w:val="16"/>
              </w:rPr>
              <w:t>2018</w:t>
            </w:r>
          </w:p>
        </w:tc>
        <w:tc>
          <w:tcPr>
            <w:tcW w:w="665" w:type="dxa"/>
            <w:shd w:val="clear" w:color="auto" w:fill="auto"/>
            <w:noWrap/>
            <w:tcMar>
              <w:left w:w="28" w:type="dxa"/>
              <w:right w:w="28" w:type="dxa"/>
            </w:tcMar>
            <w:vAlign w:val="bottom"/>
          </w:tcPr>
          <w:p w:rsidR="00A3455D" w:rsidRPr="00A3455D" w:rsidRDefault="00071668" w:rsidP="003F7B07">
            <w:pPr>
              <w:tabs>
                <w:tab w:val="decimal" w:pos="412"/>
              </w:tabs>
              <w:jc w:val="both"/>
              <w:rPr>
                <w:rFonts w:ascii="Arial Narrow" w:hAnsi="Arial Narrow" w:cs="Arial"/>
                <w:sz w:val="16"/>
                <w:szCs w:val="16"/>
              </w:rPr>
            </w:pPr>
            <w:r>
              <w:rPr>
                <w:rFonts w:ascii="Arial Narrow" w:hAnsi="Arial Narrow" w:cs="Arial"/>
                <w:sz w:val="16"/>
                <w:szCs w:val="16"/>
              </w:rPr>
              <w:t>184,9</w:t>
            </w:r>
          </w:p>
        </w:tc>
        <w:tc>
          <w:tcPr>
            <w:tcW w:w="781" w:type="dxa"/>
            <w:shd w:val="clear" w:color="auto" w:fill="auto"/>
            <w:noWrap/>
            <w:tcMar>
              <w:left w:w="28" w:type="dxa"/>
              <w:right w:w="28" w:type="dxa"/>
            </w:tcMar>
            <w:vAlign w:val="bottom"/>
          </w:tcPr>
          <w:p w:rsidR="00A3455D" w:rsidRPr="00A3455D" w:rsidRDefault="00A3455D" w:rsidP="003F7B07">
            <w:pPr>
              <w:tabs>
                <w:tab w:val="decimal" w:pos="374"/>
              </w:tabs>
              <w:jc w:val="both"/>
              <w:rPr>
                <w:rFonts w:ascii="Arial Narrow" w:hAnsi="Arial Narrow" w:cs="Arial"/>
                <w:sz w:val="16"/>
                <w:szCs w:val="16"/>
              </w:rPr>
            </w:pPr>
            <w:r>
              <w:rPr>
                <w:rFonts w:ascii="Arial Narrow" w:hAnsi="Arial Narrow" w:cs="Arial"/>
                <w:sz w:val="16"/>
                <w:szCs w:val="16"/>
              </w:rPr>
              <w:t>0,</w:t>
            </w:r>
            <w:r w:rsidR="00071668">
              <w:rPr>
                <w:rFonts w:ascii="Arial Narrow" w:hAnsi="Arial Narrow" w:cs="Arial"/>
                <w:sz w:val="16"/>
                <w:szCs w:val="16"/>
              </w:rPr>
              <w:t>10</w:t>
            </w:r>
          </w:p>
        </w:tc>
        <w:tc>
          <w:tcPr>
            <w:tcW w:w="976" w:type="dxa"/>
            <w:shd w:val="clear" w:color="auto" w:fill="auto"/>
            <w:noWrap/>
            <w:tcMar>
              <w:left w:w="28" w:type="dxa"/>
              <w:right w:w="28" w:type="dxa"/>
            </w:tcMar>
            <w:vAlign w:val="bottom"/>
          </w:tcPr>
          <w:p w:rsidR="00A3455D" w:rsidRPr="00A3455D" w:rsidRDefault="00A3455D" w:rsidP="00071668">
            <w:pPr>
              <w:tabs>
                <w:tab w:val="decimal" w:pos="614"/>
              </w:tabs>
              <w:jc w:val="both"/>
              <w:rPr>
                <w:rFonts w:ascii="Arial Narrow" w:hAnsi="Arial Narrow" w:cs="Arial"/>
                <w:sz w:val="16"/>
                <w:szCs w:val="16"/>
              </w:rPr>
            </w:pPr>
            <w:r>
              <w:rPr>
                <w:rFonts w:ascii="Arial Narrow" w:hAnsi="Arial Narrow" w:cs="Arial"/>
                <w:sz w:val="16"/>
                <w:szCs w:val="16"/>
              </w:rPr>
              <w:t>10.3</w:t>
            </w:r>
            <w:r w:rsidR="00071668">
              <w:rPr>
                <w:rFonts w:ascii="Arial Narrow" w:hAnsi="Arial Narrow" w:cs="Arial"/>
                <w:sz w:val="16"/>
                <w:szCs w:val="16"/>
              </w:rPr>
              <w:t>26,7</w:t>
            </w:r>
          </w:p>
        </w:tc>
        <w:tc>
          <w:tcPr>
            <w:tcW w:w="976" w:type="dxa"/>
            <w:shd w:val="clear" w:color="auto" w:fill="auto"/>
            <w:noWrap/>
            <w:tcMar>
              <w:left w:w="28" w:type="dxa"/>
              <w:right w:w="28" w:type="dxa"/>
            </w:tcMar>
            <w:vAlign w:val="bottom"/>
          </w:tcPr>
          <w:p w:rsidR="00A3455D" w:rsidRPr="00A3455D" w:rsidRDefault="00A3455D" w:rsidP="003F7B07">
            <w:pPr>
              <w:tabs>
                <w:tab w:val="decimal" w:pos="484"/>
              </w:tabs>
              <w:jc w:val="both"/>
              <w:rPr>
                <w:rFonts w:ascii="Arial Narrow" w:hAnsi="Arial Narrow" w:cs="Arial"/>
                <w:sz w:val="16"/>
                <w:szCs w:val="16"/>
              </w:rPr>
            </w:pPr>
            <w:r>
              <w:rPr>
                <w:rFonts w:ascii="Arial Narrow" w:hAnsi="Arial Narrow" w:cs="Arial"/>
                <w:sz w:val="16"/>
                <w:szCs w:val="16"/>
              </w:rPr>
              <w:t>5,</w:t>
            </w:r>
            <w:r w:rsidR="00071668">
              <w:rPr>
                <w:rFonts w:ascii="Arial Narrow" w:hAnsi="Arial Narrow" w:cs="Arial"/>
                <w:sz w:val="16"/>
                <w:szCs w:val="16"/>
              </w:rPr>
              <w:t>59</w:t>
            </w:r>
          </w:p>
        </w:tc>
        <w:tc>
          <w:tcPr>
            <w:tcW w:w="781" w:type="dxa"/>
            <w:shd w:val="clear" w:color="auto" w:fill="auto"/>
            <w:noWrap/>
            <w:tcMar>
              <w:left w:w="28" w:type="dxa"/>
              <w:right w:w="28" w:type="dxa"/>
            </w:tcMar>
            <w:vAlign w:val="bottom"/>
          </w:tcPr>
          <w:p w:rsidR="00A3455D" w:rsidRPr="00A3455D" w:rsidRDefault="00A3455D" w:rsidP="003F7B07">
            <w:pPr>
              <w:tabs>
                <w:tab w:val="decimal" w:pos="408"/>
              </w:tabs>
              <w:jc w:val="both"/>
              <w:rPr>
                <w:rFonts w:ascii="Arial Narrow" w:hAnsi="Arial Narrow" w:cs="Arial"/>
                <w:sz w:val="16"/>
                <w:szCs w:val="16"/>
              </w:rPr>
            </w:pPr>
            <w:r>
              <w:rPr>
                <w:rFonts w:ascii="Arial Narrow" w:hAnsi="Arial Narrow" w:cs="Arial"/>
                <w:sz w:val="16"/>
                <w:szCs w:val="16"/>
              </w:rPr>
              <w:t>8</w:t>
            </w:r>
            <w:r w:rsidR="00071668">
              <w:rPr>
                <w:rFonts w:ascii="Arial Narrow" w:hAnsi="Arial Narrow" w:cs="Arial"/>
                <w:sz w:val="16"/>
                <w:szCs w:val="16"/>
              </w:rPr>
              <w:t>5,6</w:t>
            </w:r>
          </w:p>
        </w:tc>
        <w:tc>
          <w:tcPr>
            <w:tcW w:w="1171" w:type="dxa"/>
            <w:shd w:val="clear" w:color="auto" w:fill="auto"/>
            <w:noWrap/>
            <w:tcMar>
              <w:left w:w="28" w:type="dxa"/>
              <w:right w:w="28" w:type="dxa"/>
            </w:tcMar>
            <w:vAlign w:val="bottom"/>
          </w:tcPr>
          <w:p w:rsidR="00A3455D" w:rsidRPr="00A3455D" w:rsidRDefault="00A3455D" w:rsidP="003F7B07">
            <w:pPr>
              <w:tabs>
                <w:tab w:val="decimal" w:pos="573"/>
              </w:tabs>
              <w:jc w:val="both"/>
              <w:rPr>
                <w:rFonts w:ascii="Arial Narrow" w:hAnsi="Arial Narrow" w:cs="Arial"/>
                <w:sz w:val="16"/>
                <w:szCs w:val="16"/>
              </w:rPr>
            </w:pPr>
            <w:r>
              <w:rPr>
                <w:rFonts w:ascii="Arial Narrow" w:hAnsi="Arial Narrow" w:cs="Arial"/>
                <w:sz w:val="16"/>
                <w:szCs w:val="16"/>
              </w:rPr>
              <w:t>0,05</w:t>
            </w:r>
          </w:p>
        </w:tc>
        <w:tc>
          <w:tcPr>
            <w:tcW w:w="1562" w:type="dxa"/>
            <w:shd w:val="clear" w:color="auto" w:fill="auto"/>
            <w:noWrap/>
            <w:tcMar>
              <w:left w:w="28" w:type="dxa"/>
              <w:right w:w="28" w:type="dxa"/>
            </w:tcMar>
            <w:vAlign w:val="bottom"/>
          </w:tcPr>
          <w:p w:rsidR="00A3455D" w:rsidRPr="00A3455D" w:rsidRDefault="00A3455D" w:rsidP="003F7B07">
            <w:pPr>
              <w:tabs>
                <w:tab w:val="decimal" w:pos="776"/>
              </w:tabs>
              <w:jc w:val="both"/>
              <w:rPr>
                <w:rFonts w:ascii="Arial Narrow" w:hAnsi="Arial Narrow" w:cs="Arial"/>
                <w:sz w:val="16"/>
                <w:szCs w:val="16"/>
              </w:rPr>
            </w:pPr>
            <w:r>
              <w:rPr>
                <w:rFonts w:ascii="Arial Narrow" w:hAnsi="Arial Narrow" w:cs="Arial"/>
                <w:sz w:val="16"/>
                <w:szCs w:val="16"/>
              </w:rPr>
              <w:t>5</w:t>
            </w:r>
            <w:r w:rsidR="00071668">
              <w:rPr>
                <w:rFonts w:ascii="Arial Narrow" w:hAnsi="Arial Narrow" w:cs="Arial"/>
                <w:sz w:val="16"/>
                <w:szCs w:val="16"/>
              </w:rPr>
              <w:t>8,5</w:t>
            </w:r>
          </w:p>
        </w:tc>
        <w:tc>
          <w:tcPr>
            <w:tcW w:w="781" w:type="dxa"/>
            <w:shd w:val="clear" w:color="auto" w:fill="auto"/>
            <w:noWrap/>
            <w:tcMar>
              <w:left w:w="28" w:type="dxa"/>
              <w:right w:w="28" w:type="dxa"/>
            </w:tcMar>
            <w:vAlign w:val="bottom"/>
          </w:tcPr>
          <w:p w:rsidR="00A3455D" w:rsidRPr="00A3455D" w:rsidRDefault="00C74FC3" w:rsidP="003F7B07">
            <w:pPr>
              <w:tabs>
                <w:tab w:val="decimal" w:pos="407"/>
              </w:tabs>
              <w:jc w:val="both"/>
              <w:rPr>
                <w:rFonts w:ascii="Arial Narrow" w:hAnsi="Arial Narrow" w:cs="Arial"/>
                <w:sz w:val="16"/>
                <w:szCs w:val="16"/>
              </w:rPr>
            </w:pPr>
            <w:r>
              <w:rPr>
                <w:rFonts w:ascii="Arial Narrow" w:hAnsi="Arial Narrow" w:cs="Arial"/>
                <w:sz w:val="16"/>
                <w:szCs w:val="16"/>
              </w:rPr>
              <w:t>27,1</w:t>
            </w:r>
          </w:p>
        </w:tc>
        <w:tc>
          <w:tcPr>
            <w:tcW w:w="976" w:type="dxa"/>
            <w:tcBorders>
              <w:right w:val="single" w:sz="6" w:space="0" w:color="auto"/>
            </w:tcBorders>
            <w:shd w:val="clear" w:color="auto" w:fill="auto"/>
            <w:noWrap/>
            <w:tcMar>
              <w:left w:w="28" w:type="dxa"/>
              <w:right w:w="28" w:type="dxa"/>
            </w:tcMar>
            <w:vAlign w:val="bottom"/>
          </w:tcPr>
          <w:p w:rsidR="00A3455D" w:rsidRPr="00A3455D" w:rsidRDefault="00A3455D" w:rsidP="003F7B07">
            <w:pPr>
              <w:tabs>
                <w:tab w:val="decimal" w:pos="453"/>
              </w:tabs>
              <w:jc w:val="both"/>
              <w:rPr>
                <w:rFonts w:ascii="Arial Narrow" w:hAnsi="Arial Narrow" w:cs="Arial"/>
                <w:sz w:val="16"/>
                <w:szCs w:val="16"/>
              </w:rPr>
            </w:pPr>
            <w:r>
              <w:rPr>
                <w:rFonts w:ascii="Arial Narrow" w:hAnsi="Arial Narrow" w:cs="Arial"/>
                <w:sz w:val="16"/>
                <w:szCs w:val="16"/>
              </w:rPr>
              <w:t>0,0</w:t>
            </w:r>
            <w:r w:rsidR="00C74FC3">
              <w:rPr>
                <w:rFonts w:ascii="Arial Narrow" w:hAnsi="Arial Narrow" w:cs="Arial"/>
                <w:sz w:val="16"/>
                <w:szCs w:val="16"/>
              </w:rPr>
              <w:t>1</w:t>
            </w:r>
          </w:p>
        </w:tc>
      </w:tr>
      <w:tr w:rsidR="00CA3A0E" w:rsidRPr="009367DF" w:rsidTr="003F7B07">
        <w:trPr>
          <w:trHeight w:val="224"/>
          <w:jc w:val="center"/>
        </w:trPr>
        <w:tc>
          <w:tcPr>
            <w:tcW w:w="810" w:type="dxa"/>
            <w:tcBorders>
              <w:left w:val="single" w:sz="6" w:space="0" w:color="auto"/>
              <w:bottom w:val="single" w:sz="6" w:space="0" w:color="auto"/>
            </w:tcBorders>
            <w:shd w:val="clear" w:color="auto" w:fill="auto"/>
            <w:noWrap/>
            <w:tcMar>
              <w:left w:w="28" w:type="dxa"/>
              <w:right w:w="28" w:type="dxa"/>
            </w:tcMar>
            <w:vAlign w:val="bottom"/>
          </w:tcPr>
          <w:p w:rsidR="00CA3A0E" w:rsidRPr="00CA3A0E" w:rsidRDefault="00CA3A0E" w:rsidP="003F7B07">
            <w:pPr>
              <w:jc w:val="center"/>
              <w:rPr>
                <w:rFonts w:ascii="Arial Narrow" w:hAnsi="Arial Narrow"/>
                <w:sz w:val="16"/>
                <w:szCs w:val="16"/>
                <w:lang w:val="en-US"/>
              </w:rPr>
            </w:pPr>
            <w:r>
              <w:rPr>
                <w:rFonts w:ascii="Arial Narrow" w:hAnsi="Arial Narrow"/>
                <w:sz w:val="16"/>
                <w:szCs w:val="16"/>
                <w:lang w:val="en-US"/>
              </w:rPr>
              <w:t>2019</w:t>
            </w:r>
          </w:p>
        </w:tc>
        <w:tc>
          <w:tcPr>
            <w:tcW w:w="665" w:type="dxa"/>
            <w:tcBorders>
              <w:bottom w:val="single" w:sz="6" w:space="0" w:color="auto"/>
            </w:tcBorders>
            <w:shd w:val="clear" w:color="auto" w:fill="auto"/>
            <w:noWrap/>
            <w:tcMar>
              <w:left w:w="28" w:type="dxa"/>
              <w:right w:w="28" w:type="dxa"/>
            </w:tcMar>
            <w:vAlign w:val="bottom"/>
          </w:tcPr>
          <w:p w:rsidR="00CA3A0E" w:rsidRDefault="00071668" w:rsidP="003F7B07">
            <w:pPr>
              <w:tabs>
                <w:tab w:val="decimal" w:pos="412"/>
              </w:tabs>
              <w:jc w:val="both"/>
              <w:rPr>
                <w:rFonts w:ascii="Arial Narrow" w:hAnsi="Arial Narrow" w:cs="Arial"/>
                <w:sz w:val="16"/>
                <w:szCs w:val="16"/>
              </w:rPr>
            </w:pPr>
            <w:r>
              <w:rPr>
                <w:rFonts w:ascii="Arial Narrow" w:hAnsi="Arial Narrow" w:cs="Arial"/>
                <w:sz w:val="16"/>
                <w:szCs w:val="16"/>
              </w:rPr>
              <w:t>408,9</w:t>
            </w:r>
          </w:p>
        </w:tc>
        <w:tc>
          <w:tcPr>
            <w:tcW w:w="781" w:type="dxa"/>
            <w:tcBorders>
              <w:bottom w:val="single" w:sz="6" w:space="0" w:color="auto"/>
            </w:tcBorders>
            <w:shd w:val="clear" w:color="auto" w:fill="auto"/>
            <w:noWrap/>
            <w:tcMar>
              <w:left w:w="28" w:type="dxa"/>
              <w:right w:w="28" w:type="dxa"/>
            </w:tcMar>
            <w:vAlign w:val="bottom"/>
          </w:tcPr>
          <w:p w:rsidR="00CA3A0E" w:rsidRDefault="00071668" w:rsidP="003F7B07">
            <w:pPr>
              <w:tabs>
                <w:tab w:val="decimal" w:pos="374"/>
              </w:tabs>
              <w:jc w:val="both"/>
              <w:rPr>
                <w:rFonts w:ascii="Arial Narrow" w:hAnsi="Arial Narrow" w:cs="Arial"/>
                <w:sz w:val="16"/>
                <w:szCs w:val="16"/>
              </w:rPr>
            </w:pPr>
            <w:r>
              <w:rPr>
                <w:rFonts w:ascii="Arial Narrow" w:hAnsi="Arial Narrow" w:cs="Arial"/>
                <w:sz w:val="16"/>
                <w:szCs w:val="16"/>
              </w:rPr>
              <w:t>0,22</w:t>
            </w:r>
          </w:p>
        </w:tc>
        <w:tc>
          <w:tcPr>
            <w:tcW w:w="976" w:type="dxa"/>
            <w:tcBorders>
              <w:bottom w:val="single" w:sz="6" w:space="0" w:color="auto"/>
            </w:tcBorders>
            <w:shd w:val="clear" w:color="auto" w:fill="auto"/>
            <w:noWrap/>
            <w:tcMar>
              <w:left w:w="28" w:type="dxa"/>
              <w:right w:w="28" w:type="dxa"/>
            </w:tcMar>
            <w:vAlign w:val="bottom"/>
          </w:tcPr>
          <w:p w:rsidR="00CA3A0E" w:rsidRDefault="00071668" w:rsidP="003F7B07">
            <w:pPr>
              <w:tabs>
                <w:tab w:val="decimal" w:pos="614"/>
              </w:tabs>
              <w:jc w:val="both"/>
              <w:rPr>
                <w:rFonts w:ascii="Arial Narrow" w:hAnsi="Arial Narrow" w:cs="Arial"/>
                <w:sz w:val="16"/>
                <w:szCs w:val="16"/>
              </w:rPr>
            </w:pPr>
            <w:r>
              <w:rPr>
                <w:rFonts w:ascii="Arial Narrow" w:hAnsi="Arial Narrow" w:cs="Arial"/>
                <w:sz w:val="16"/>
                <w:szCs w:val="16"/>
              </w:rPr>
              <w:t>9.953,6</w:t>
            </w:r>
          </w:p>
        </w:tc>
        <w:tc>
          <w:tcPr>
            <w:tcW w:w="976" w:type="dxa"/>
            <w:tcBorders>
              <w:bottom w:val="single" w:sz="6" w:space="0" w:color="auto"/>
            </w:tcBorders>
            <w:shd w:val="clear" w:color="auto" w:fill="auto"/>
            <w:noWrap/>
            <w:tcMar>
              <w:left w:w="28" w:type="dxa"/>
              <w:right w:w="28" w:type="dxa"/>
            </w:tcMar>
            <w:vAlign w:val="bottom"/>
          </w:tcPr>
          <w:p w:rsidR="00CA3A0E" w:rsidRDefault="00071668" w:rsidP="003F7B07">
            <w:pPr>
              <w:tabs>
                <w:tab w:val="decimal" w:pos="484"/>
              </w:tabs>
              <w:jc w:val="both"/>
              <w:rPr>
                <w:rFonts w:ascii="Arial Narrow" w:hAnsi="Arial Narrow" w:cs="Arial"/>
                <w:sz w:val="16"/>
                <w:szCs w:val="16"/>
              </w:rPr>
            </w:pPr>
            <w:r>
              <w:rPr>
                <w:rFonts w:ascii="Arial Narrow" w:hAnsi="Arial Narrow" w:cs="Arial"/>
                <w:sz w:val="16"/>
                <w:szCs w:val="16"/>
              </w:rPr>
              <w:t>5,24</w:t>
            </w:r>
          </w:p>
        </w:tc>
        <w:tc>
          <w:tcPr>
            <w:tcW w:w="781" w:type="dxa"/>
            <w:tcBorders>
              <w:bottom w:val="single" w:sz="6" w:space="0" w:color="auto"/>
            </w:tcBorders>
            <w:shd w:val="clear" w:color="auto" w:fill="auto"/>
            <w:noWrap/>
            <w:tcMar>
              <w:left w:w="28" w:type="dxa"/>
              <w:right w:w="28" w:type="dxa"/>
            </w:tcMar>
            <w:vAlign w:val="bottom"/>
          </w:tcPr>
          <w:p w:rsidR="00CA3A0E" w:rsidRDefault="00071668" w:rsidP="003F7B07">
            <w:pPr>
              <w:tabs>
                <w:tab w:val="decimal" w:pos="408"/>
              </w:tabs>
              <w:jc w:val="both"/>
              <w:rPr>
                <w:rFonts w:ascii="Arial Narrow" w:hAnsi="Arial Narrow" w:cs="Arial"/>
                <w:sz w:val="16"/>
                <w:szCs w:val="16"/>
              </w:rPr>
            </w:pPr>
            <w:r>
              <w:rPr>
                <w:rFonts w:ascii="Arial Narrow" w:hAnsi="Arial Narrow" w:cs="Arial"/>
                <w:sz w:val="16"/>
                <w:szCs w:val="16"/>
              </w:rPr>
              <w:t>12,9</w:t>
            </w:r>
          </w:p>
        </w:tc>
        <w:tc>
          <w:tcPr>
            <w:tcW w:w="1171" w:type="dxa"/>
            <w:tcBorders>
              <w:bottom w:val="single" w:sz="6" w:space="0" w:color="auto"/>
            </w:tcBorders>
            <w:shd w:val="clear" w:color="auto" w:fill="auto"/>
            <w:noWrap/>
            <w:tcMar>
              <w:left w:w="28" w:type="dxa"/>
              <w:right w:w="28" w:type="dxa"/>
            </w:tcMar>
            <w:vAlign w:val="bottom"/>
          </w:tcPr>
          <w:p w:rsidR="00CA3A0E" w:rsidRDefault="00071668" w:rsidP="003F7B07">
            <w:pPr>
              <w:tabs>
                <w:tab w:val="decimal" w:pos="573"/>
              </w:tabs>
              <w:jc w:val="both"/>
              <w:rPr>
                <w:rFonts w:ascii="Arial Narrow" w:hAnsi="Arial Narrow" w:cs="Arial"/>
                <w:sz w:val="16"/>
                <w:szCs w:val="16"/>
              </w:rPr>
            </w:pPr>
            <w:r>
              <w:rPr>
                <w:rFonts w:ascii="Arial Narrow" w:hAnsi="Arial Narrow" w:cs="Arial"/>
                <w:sz w:val="16"/>
                <w:szCs w:val="16"/>
              </w:rPr>
              <w:t>0,01</w:t>
            </w:r>
          </w:p>
        </w:tc>
        <w:tc>
          <w:tcPr>
            <w:tcW w:w="1562" w:type="dxa"/>
            <w:tcBorders>
              <w:bottom w:val="single" w:sz="6" w:space="0" w:color="auto"/>
            </w:tcBorders>
            <w:shd w:val="clear" w:color="auto" w:fill="auto"/>
            <w:noWrap/>
            <w:tcMar>
              <w:left w:w="28" w:type="dxa"/>
              <w:right w:w="28" w:type="dxa"/>
            </w:tcMar>
            <w:vAlign w:val="bottom"/>
          </w:tcPr>
          <w:p w:rsidR="00CA3A0E" w:rsidRDefault="00071668" w:rsidP="003F7B07">
            <w:pPr>
              <w:tabs>
                <w:tab w:val="decimal" w:pos="776"/>
              </w:tabs>
              <w:jc w:val="both"/>
              <w:rPr>
                <w:rFonts w:ascii="Arial Narrow" w:hAnsi="Arial Narrow" w:cs="Arial"/>
                <w:sz w:val="16"/>
                <w:szCs w:val="16"/>
              </w:rPr>
            </w:pPr>
            <w:r>
              <w:rPr>
                <w:rFonts w:ascii="Arial Narrow" w:hAnsi="Arial Narrow" w:cs="Arial"/>
                <w:sz w:val="16"/>
                <w:szCs w:val="16"/>
              </w:rPr>
              <w:t>59,5</w:t>
            </w:r>
          </w:p>
        </w:tc>
        <w:tc>
          <w:tcPr>
            <w:tcW w:w="781" w:type="dxa"/>
            <w:tcBorders>
              <w:bottom w:val="single" w:sz="6" w:space="0" w:color="auto"/>
            </w:tcBorders>
            <w:shd w:val="clear" w:color="auto" w:fill="auto"/>
            <w:noWrap/>
            <w:tcMar>
              <w:left w:w="28" w:type="dxa"/>
              <w:right w:w="28" w:type="dxa"/>
            </w:tcMar>
            <w:vAlign w:val="bottom"/>
          </w:tcPr>
          <w:p w:rsidR="00CA3A0E" w:rsidRDefault="00C74FC3" w:rsidP="003F7B07">
            <w:pPr>
              <w:tabs>
                <w:tab w:val="decimal" w:pos="407"/>
              </w:tabs>
              <w:jc w:val="both"/>
              <w:rPr>
                <w:rFonts w:ascii="Arial Narrow" w:hAnsi="Arial Narrow" w:cs="Arial"/>
                <w:sz w:val="16"/>
                <w:szCs w:val="16"/>
              </w:rPr>
            </w:pPr>
            <w:r>
              <w:rPr>
                <w:rFonts w:ascii="Arial Narrow" w:hAnsi="Arial Narrow" w:cs="Arial"/>
                <w:sz w:val="16"/>
                <w:szCs w:val="16"/>
              </w:rPr>
              <w:t>-46,6</w:t>
            </w:r>
          </w:p>
        </w:tc>
        <w:tc>
          <w:tcPr>
            <w:tcW w:w="976" w:type="dxa"/>
            <w:tcBorders>
              <w:bottom w:val="single" w:sz="6" w:space="0" w:color="auto"/>
              <w:right w:val="single" w:sz="6" w:space="0" w:color="auto"/>
            </w:tcBorders>
            <w:shd w:val="clear" w:color="auto" w:fill="auto"/>
            <w:noWrap/>
            <w:tcMar>
              <w:left w:w="28" w:type="dxa"/>
              <w:right w:w="28" w:type="dxa"/>
            </w:tcMar>
            <w:vAlign w:val="bottom"/>
          </w:tcPr>
          <w:p w:rsidR="00CA3A0E" w:rsidRDefault="00C74FC3" w:rsidP="003F7B07">
            <w:pPr>
              <w:tabs>
                <w:tab w:val="decimal" w:pos="453"/>
              </w:tabs>
              <w:jc w:val="both"/>
              <w:rPr>
                <w:rFonts w:ascii="Arial Narrow" w:hAnsi="Arial Narrow" w:cs="Arial"/>
                <w:sz w:val="16"/>
                <w:szCs w:val="16"/>
              </w:rPr>
            </w:pPr>
            <w:r>
              <w:rPr>
                <w:rFonts w:ascii="Arial Narrow" w:hAnsi="Arial Narrow" w:cs="Arial"/>
                <w:sz w:val="16"/>
                <w:szCs w:val="16"/>
              </w:rPr>
              <w:t>-0,02</w:t>
            </w:r>
          </w:p>
        </w:tc>
      </w:tr>
    </w:tbl>
    <w:p w:rsidR="00BA1AB3" w:rsidRPr="00071668" w:rsidRDefault="00BA1AB3" w:rsidP="00BA1AB3">
      <w:pPr>
        <w:tabs>
          <w:tab w:val="left" w:pos="360"/>
          <w:tab w:val="left" w:pos="3777"/>
          <w:tab w:val="left" w:pos="4068"/>
          <w:tab w:val="left" w:pos="5895"/>
          <w:tab w:val="left" w:pos="6131"/>
          <w:tab w:val="left" w:pos="7408"/>
          <w:tab w:val="right" w:pos="9000"/>
          <w:tab w:val="left" w:pos="10389"/>
        </w:tabs>
        <w:ind w:left="360" w:right="-469" w:hanging="252"/>
        <w:rPr>
          <w:rFonts w:ascii="Arial Narrow" w:hAnsi="Arial Narrow"/>
          <w:i/>
          <w:iCs/>
          <w:sz w:val="18"/>
          <w:szCs w:val="16"/>
        </w:rPr>
      </w:pPr>
      <w:r>
        <w:rPr>
          <w:rFonts w:ascii="Arial Narrow" w:hAnsi="Arial Narrow"/>
          <w:i/>
          <w:iCs/>
          <w:sz w:val="18"/>
          <w:szCs w:val="16"/>
        </w:rPr>
        <w:t>*</w:t>
      </w:r>
      <w:r w:rsidRPr="009367DF">
        <w:rPr>
          <w:rFonts w:ascii="Arial Narrow" w:hAnsi="Arial Narrow"/>
          <w:i/>
          <w:iCs/>
          <w:sz w:val="18"/>
          <w:szCs w:val="16"/>
        </w:rPr>
        <w:t xml:space="preserve">Τα στοιχεία </w:t>
      </w:r>
      <w:r>
        <w:rPr>
          <w:rFonts w:ascii="Arial Narrow" w:hAnsi="Arial Narrow"/>
          <w:i/>
          <w:iCs/>
          <w:sz w:val="18"/>
          <w:szCs w:val="16"/>
        </w:rPr>
        <w:t>για το έτος 201</w:t>
      </w:r>
      <w:r w:rsidR="00071668" w:rsidRPr="00071668">
        <w:rPr>
          <w:rFonts w:ascii="Arial Narrow" w:hAnsi="Arial Narrow"/>
          <w:i/>
          <w:iCs/>
          <w:sz w:val="18"/>
          <w:szCs w:val="16"/>
        </w:rPr>
        <w:t>9</w:t>
      </w:r>
      <w:r>
        <w:rPr>
          <w:rFonts w:ascii="Arial Narrow" w:hAnsi="Arial Narrow"/>
          <w:i/>
          <w:iCs/>
          <w:sz w:val="18"/>
          <w:szCs w:val="16"/>
        </w:rPr>
        <w:t xml:space="preserve"> </w:t>
      </w:r>
      <w:r w:rsidRPr="009367DF">
        <w:rPr>
          <w:rFonts w:ascii="Arial Narrow" w:hAnsi="Arial Narrow"/>
          <w:i/>
          <w:iCs/>
          <w:sz w:val="18"/>
          <w:szCs w:val="16"/>
        </w:rPr>
        <w:t>αποτελούν εκτίμηση.</w:t>
      </w:r>
    </w:p>
    <w:p w:rsidR="00071668" w:rsidRPr="00071668" w:rsidRDefault="00071668" w:rsidP="00BA1AB3">
      <w:pPr>
        <w:tabs>
          <w:tab w:val="left" w:pos="360"/>
          <w:tab w:val="left" w:pos="3777"/>
          <w:tab w:val="left" w:pos="4068"/>
          <w:tab w:val="left" w:pos="5895"/>
          <w:tab w:val="left" w:pos="6131"/>
          <w:tab w:val="left" w:pos="7408"/>
          <w:tab w:val="right" w:pos="9000"/>
          <w:tab w:val="left" w:pos="10389"/>
        </w:tabs>
        <w:ind w:left="360" w:right="-469" w:hanging="252"/>
        <w:rPr>
          <w:rFonts w:ascii="Arial Narrow" w:hAnsi="Arial Narrow"/>
          <w:i/>
          <w:iCs/>
          <w:sz w:val="18"/>
          <w:szCs w:val="16"/>
        </w:rPr>
      </w:pPr>
      <w:r w:rsidRPr="00071668">
        <w:rPr>
          <w:rFonts w:ascii="Arial Narrow" w:hAnsi="Arial Narrow"/>
          <w:i/>
          <w:iCs/>
          <w:sz w:val="18"/>
          <w:szCs w:val="16"/>
        </w:rPr>
        <w:t xml:space="preserve">** </w:t>
      </w:r>
      <w:r>
        <w:rPr>
          <w:rFonts w:ascii="Arial Narrow" w:hAnsi="Arial Narrow"/>
          <w:i/>
          <w:iCs/>
          <w:sz w:val="18"/>
          <w:szCs w:val="16"/>
        </w:rPr>
        <w:t>Οι καταπτώσεις αφορούν εγγυήσεις προηγούμενων ετών</w:t>
      </w:r>
    </w:p>
    <w:p w:rsidR="00BA1AB3" w:rsidRPr="009367DF" w:rsidRDefault="00BA1AB3" w:rsidP="00BA1AB3">
      <w:pPr>
        <w:tabs>
          <w:tab w:val="left" w:pos="360"/>
          <w:tab w:val="left" w:pos="3777"/>
          <w:tab w:val="left" w:pos="4068"/>
          <w:tab w:val="left" w:pos="5895"/>
          <w:tab w:val="left" w:pos="6131"/>
          <w:tab w:val="left" w:pos="7408"/>
          <w:tab w:val="right" w:pos="9000"/>
          <w:tab w:val="left" w:pos="10389"/>
        </w:tabs>
        <w:ind w:left="360" w:right="-469" w:hanging="252"/>
        <w:rPr>
          <w:rFonts w:ascii="Arial Narrow" w:hAnsi="Arial Narrow"/>
          <w:sz w:val="18"/>
          <w:szCs w:val="16"/>
        </w:rPr>
      </w:pPr>
    </w:p>
    <w:p w:rsidR="00BA1AB3" w:rsidRDefault="00BA1AB3" w:rsidP="00BA1AB3">
      <w:pPr>
        <w:ind w:right="251"/>
        <w:jc w:val="both"/>
        <w:rPr>
          <w:rFonts w:ascii="Arial Narrow" w:hAnsi="Arial Narrow"/>
          <w:sz w:val="22"/>
          <w:szCs w:val="22"/>
        </w:rPr>
      </w:pPr>
    </w:p>
    <w:tbl>
      <w:tblPr>
        <w:tblW w:w="10196" w:type="dxa"/>
        <w:jc w:val="center"/>
        <w:tblLook w:val="00A0"/>
      </w:tblPr>
      <w:tblGrid>
        <w:gridCol w:w="297"/>
        <w:gridCol w:w="9683"/>
        <w:gridCol w:w="216"/>
      </w:tblGrid>
      <w:tr w:rsidR="00BA1AB3" w:rsidRPr="00F323BD" w:rsidTr="00FD7D80">
        <w:trPr>
          <w:gridBefore w:val="1"/>
          <w:gridAfter w:val="1"/>
          <w:wBefore w:w="297" w:type="dxa"/>
          <w:wAfter w:w="216" w:type="dxa"/>
          <w:trHeight w:val="499"/>
          <w:jc w:val="center"/>
        </w:trPr>
        <w:tc>
          <w:tcPr>
            <w:tcW w:w="9683" w:type="dxa"/>
            <w:shd w:val="clear" w:color="auto" w:fill="404040"/>
          </w:tcPr>
          <w:p w:rsidR="00BA1AB3" w:rsidRPr="00F323BD" w:rsidRDefault="00E46E13" w:rsidP="003F7B07">
            <w:pPr>
              <w:keepNext/>
              <w:spacing w:before="120"/>
              <w:jc w:val="center"/>
              <w:outlineLvl w:val="4"/>
              <w:rPr>
                <w:rFonts w:ascii="Arial Narrow" w:hAnsi="Arial Narrow"/>
                <w:b/>
                <w:color w:val="FFFFFF"/>
              </w:rPr>
            </w:pPr>
            <w:r>
              <w:rPr>
                <w:rFonts w:ascii="Arial Narrow" w:hAnsi="Arial Narrow"/>
                <w:b/>
                <w:color w:val="FFFFFF"/>
              </w:rPr>
              <w:lastRenderedPageBreak/>
              <w:t>Διάγραμμα 4.8</w:t>
            </w:r>
            <w:r w:rsidR="00BA1AB3">
              <w:rPr>
                <w:rFonts w:ascii="Arial Narrow" w:hAnsi="Arial Narrow"/>
                <w:b/>
                <w:color w:val="FFFFFF"/>
              </w:rPr>
              <w:t xml:space="preserve"> </w:t>
            </w:r>
            <w:r w:rsidR="00BA1AB3" w:rsidRPr="00F323BD">
              <w:rPr>
                <w:rFonts w:ascii="Arial Narrow" w:hAnsi="Arial Narrow"/>
                <w:b/>
                <w:color w:val="FFFFFF"/>
              </w:rPr>
              <w:t>Εγγυήσεις, καταπτώσεις και ανεξόφλητο εγγυημένο υπόλοιπο</w:t>
            </w:r>
          </w:p>
          <w:p w:rsidR="00BA1AB3" w:rsidRPr="00E455F0" w:rsidRDefault="006C6981" w:rsidP="003F7B07">
            <w:pPr>
              <w:keepNext/>
              <w:tabs>
                <w:tab w:val="center" w:pos="4662"/>
                <w:tab w:val="left" w:pos="6506"/>
              </w:tabs>
              <w:jc w:val="center"/>
              <w:outlineLvl w:val="4"/>
              <w:rPr>
                <w:rFonts w:ascii="Arial Narrow" w:hAnsi="Arial Narrow"/>
                <w:b/>
                <w:color w:val="FFFFFF"/>
              </w:rPr>
            </w:pPr>
            <w:r>
              <w:rPr>
                <w:rFonts w:ascii="Arial Narrow" w:hAnsi="Arial Narrow"/>
                <w:b/>
                <w:color w:val="FFFFFF"/>
              </w:rPr>
              <w:t>κατά τα έτη 2005</w:t>
            </w:r>
            <w:r w:rsidR="00BA1AB3">
              <w:rPr>
                <w:rFonts w:ascii="Arial Narrow" w:hAnsi="Arial Narrow"/>
                <w:b/>
                <w:color w:val="FFFFFF"/>
              </w:rPr>
              <w:t>-201</w:t>
            </w:r>
            <w:r>
              <w:rPr>
                <w:rFonts w:ascii="Arial Narrow" w:hAnsi="Arial Narrow"/>
                <w:b/>
                <w:color w:val="FFFFFF"/>
              </w:rPr>
              <w:t>9</w:t>
            </w:r>
          </w:p>
          <w:p w:rsidR="00BA1AB3" w:rsidRPr="00F323BD" w:rsidRDefault="00BA1AB3" w:rsidP="003F7B07">
            <w:pPr>
              <w:spacing w:after="120"/>
              <w:jc w:val="center"/>
              <w:rPr>
                <w:b/>
                <w:sz w:val="22"/>
                <w:szCs w:val="22"/>
              </w:rPr>
            </w:pPr>
            <w:r w:rsidRPr="00F323BD">
              <w:rPr>
                <w:rFonts w:ascii="Arial Narrow" w:hAnsi="Arial Narrow"/>
                <w:b/>
                <w:color w:val="FFFFFF"/>
              </w:rPr>
              <w:t>(ως % του ΑΕΠ)</w:t>
            </w:r>
          </w:p>
        </w:tc>
      </w:tr>
      <w:tr w:rsidR="00BA1AB3" w:rsidRPr="00F323BD" w:rsidTr="00FD7D80">
        <w:trPr>
          <w:trHeight w:val="5046"/>
          <w:jc w:val="center"/>
        </w:trPr>
        <w:tc>
          <w:tcPr>
            <w:tcW w:w="10196" w:type="dxa"/>
            <w:gridSpan w:val="3"/>
          </w:tcPr>
          <w:p w:rsidR="00BA1AB3" w:rsidRDefault="0060663D" w:rsidP="003F7B07">
            <w:pPr>
              <w:jc w:val="center"/>
              <w:rPr>
                <w:sz w:val="20"/>
                <w:szCs w:val="20"/>
              </w:rPr>
            </w:pPr>
            <w:r w:rsidRPr="0060663D">
              <w:rPr>
                <w:noProof/>
                <w:sz w:val="20"/>
                <w:szCs w:val="20"/>
              </w:rPr>
              <w:drawing>
                <wp:inline distT="0" distB="0" distL="0" distR="0">
                  <wp:extent cx="6337004" cy="3019646"/>
                  <wp:effectExtent l="0" t="0" r="0" b="0"/>
                  <wp:docPr id="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A1AB3">
              <w:rPr>
                <w:sz w:val="20"/>
                <w:szCs w:val="20"/>
              </w:rPr>
              <w:t xml:space="preserve">      </w:t>
            </w:r>
          </w:p>
          <w:p w:rsidR="00BA1AB3" w:rsidRPr="00BC03F3" w:rsidRDefault="00BA1AB3" w:rsidP="003F7B07">
            <w:pPr>
              <w:rPr>
                <w:rFonts w:ascii="Arial Narrow" w:hAnsi="Arial Narrow"/>
                <w:sz w:val="18"/>
                <w:szCs w:val="18"/>
              </w:rPr>
            </w:pPr>
            <w:r>
              <w:rPr>
                <w:sz w:val="22"/>
                <w:szCs w:val="22"/>
              </w:rPr>
              <w:t xml:space="preserve">         </w:t>
            </w:r>
            <w:r w:rsidRPr="007A1C58">
              <w:rPr>
                <w:rFonts w:ascii="Arial Narrow" w:hAnsi="Arial Narrow"/>
                <w:sz w:val="16"/>
                <w:szCs w:val="18"/>
              </w:rPr>
              <w:t>Πηγή: Υπουργείο Οικονομικών</w:t>
            </w:r>
          </w:p>
        </w:tc>
      </w:tr>
    </w:tbl>
    <w:p w:rsidR="005A36C1" w:rsidRPr="00E46E13" w:rsidRDefault="005A36C1" w:rsidP="005B67EE">
      <w:pPr>
        <w:tabs>
          <w:tab w:val="left" w:pos="3939"/>
        </w:tabs>
        <w:spacing w:line="238" w:lineRule="auto"/>
        <w:jc w:val="both"/>
        <w:rPr>
          <w:rFonts w:ascii="Arial Narrow" w:hAnsi="Arial Narrow" w:cs="Arial"/>
          <w:b/>
          <w:color w:val="000080"/>
          <w:sz w:val="22"/>
        </w:rPr>
      </w:pPr>
    </w:p>
    <w:p w:rsidR="00E22ED1" w:rsidRPr="00E46E13" w:rsidRDefault="00E22ED1" w:rsidP="005B67EE">
      <w:pPr>
        <w:tabs>
          <w:tab w:val="left" w:pos="3939"/>
        </w:tabs>
        <w:spacing w:line="238" w:lineRule="auto"/>
        <w:jc w:val="both"/>
        <w:rPr>
          <w:rFonts w:ascii="Arial Narrow" w:hAnsi="Arial Narrow" w:cs="Arial"/>
          <w:b/>
          <w:color w:val="000080"/>
          <w:sz w:val="22"/>
        </w:rPr>
      </w:pPr>
    </w:p>
    <w:p w:rsidR="00E22ED1" w:rsidRPr="00E46E13" w:rsidRDefault="00E22ED1" w:rsidP="005B67EE">
      <w:pPr>
        <w:tabs>
          <w:tab w:val="left" w:pos="3939"/>
        </w:tabs>
        <w:spacing w:line="238" w:lineRule="auto"/>
        <w:jc w:val="both"/>
        <w:rPr>
          <w:rFonts w:ascii="Arial Narrow" w:hAnsi="Arial Narrow" w:cs="Arial"/>
          <w:b/>
          <w:color w:val="000080"/>
          <w:sz w:val="22"/>
        </w:rPr>
      </w:pPr>
    </w:p>
    <w:p w:rsidR="00BA1AB3" w:rsidRPr="00A10168" w:rsidRDefault="00BA1AB3" w:rsidP="005B67EE">
      <w:pPr>
        <w:tabs>
          <w:tab w:val="left" w:pos="3939"/>
        </w:tabs>
        <w:spacing w:line="238" w:lineRule="auto"/>
        <w:jc w:val="both"/>
        <w:rPr>
          <w:rFonts w:ascii="Arial Narrow" w:hAnsi="Arial Narrow" w:cs="Arial"/>
          <w:b/>
          <w:color w:val="000080"/>
          <w:sz w:val="22"/>
        </w:rPr>
      </w:pPr>
      <w:r w:rsidRPr="00A10168">
        <w:rPr>
          <w:rFonts w:ascii="Arial Narrow" w:hAnsi="Arial Narrow" w:cs="Arial"/>
          <w:b/>
          <w:color w:val="000080"/>
          <w:sz w:val="22"/>
        </w:rPr>
        <w:t>Ενίσχυση ρευστότητας της οικονομίας</w:t>
      </w:r>
      <w:r w:rsidR="005B67EE">
        <w:rPr>
          <w:rFonts w:ascii="Arial Narrow" w:hAnsi="Arial Narrow" w:cs="Arial"/>
          <w:b/>
          <w:color w:val="000080"/>
          <w:sz w:val="22"/>
        </w:rPr>
        <w:tab/>
      </w:r>
    </w:p>
    <w:p w:rsidR="00BA1AB3" w:rsidRDefault="00BA1AB3" w:rsidP="00BA1AB3">
      <w:pPr>
        <w:spacing w:line="238" w:lineRule="auto"/>
        <w:jc w:val="both"/>
        <w:rPr>
          <w:sz w:val="22"/>
        </w:rPr>
      </w:pPr>
    </w:p>
    <w:p w:rsidR="0063566F" w:rsidRPr="00AF0F72" w:rsidRDefault="0063566F" w:rsidP="0063566F">
      <w:pPr>
        <w:jc w:val="both"/>
        <w:rPr>
          <w:sz w:val="22"/>
          <w:szCs w:val="22"/>
        </w:rPr>
      </w:pPr>
      <w:r w:rsidRPr="00AF0F72">
        <w:rPr>
          <w:sz w:val="22"/>
          <w:szCs w:val="22"/>
        </w:rPr>
        <w:t>Το νομικό πλαίσιο για την ενίσχυση της ρευστότητας των τραπεζών, όπως διαμορφώθηκε με τον</w:t>
      </w:r>
      <w:r>
        <w:rPr>
          <w:sz w:val="22"/>
          <w:szCs w:val="22"/>
        </w:rPr>
        <w:t xml:space="preserve"> </w:t>
      </w:r>
      <w:r w:rsidRPr="00AF0F72">
        <w:rPr>
          <w:sz w:val="22"/>
          <w:szCs w:val="22"/>
        </w:rPr>
        <w:t>ν.3723/2008, είναι ακόμα σε ισχύ, όμως η χρήση του περιορίζεται συνεχώς. Είναι χαρακτηριστικό πως οι κρατικές εγγυήσεις που συνδέονται με το σχετικό πρόγραμμα ανήλθαν στις 30</w:t>
      </w:r>
      <w:r w:rsidR="003840D1">
        <w:rPr>
          <w:sz w:val="22"/>
          <w:szCs w:val="22"/>
        </w:rPr>
        <w:t>/</w:t>
      </w:r>
      <w:r w:rsidRPr="00AF0F72">
        <w:rPr>
          <w:sz w:val="22"/>
          <w:szCs w:val="22"/>
        </w:rPr>
        <w:t>09</w:t>
      </w:r>
      <w:r w:rsidR="003840D1">
        <w:rPr>
          <w:sz w:val="22"/>
          <w:szCs w:val="22"/>
        </w:rPr>
        <w:t>/</w:t>
      </w:r>
      <w:r w:rsidRPr="00AF0F72">
        <w:rPr>
          <w:sz w:val="22"/>
          <w:szCs w:val="22"/>
        </w:rPr>
        <w:t xml:space="preserve">2019 σε 350 </w:t>
      </w:r>
      <w:r w:rsidRPr="00AF0F72">
        <w:rPr>
          <w:sz w:val="22"/>
          <w:szCs w:val="22"/>
        </w:rPr>
        <w:t>ε</w:t>
      </w:r>
      <w:r w:rsidRPr="00AF0F72">
        <w:rPr>
          <w:sz w:val="22"/>
          <w:szCs w:val="22"/>
        </w:rPr>
        <w:t>κατ. ευρώ, παραμένοντας αμετάβλητες σε σχέση με το έτος 2018, ενώ μ</w:t>
      </w:r>
      <w:r w:rsidR="003840D1">
        <w:rPr>
          <w:sz w:val="22"/>
          <w:szCs w:val="22"/>
        </w:rPr>
        <w:t>έχρι τις 31/12/</w:t>
      </w:r>
      <w:r w:rsidRPr="00AF0F72">
        <w:rPr>
          <w:sz w:val="22"/>
          <w:szCs w:val="22"/>
        </w:rPr>
        <w:t>2019 το συγκ</w:t>
      </w:r>
      <w:r w:rsidRPr="00AF0F72">
        <w:rPr>
          <w:sz w:val="22"/>
          <w:szCs w:val="22"/>
        </w:rPr>
        <w:t>ε</w:t>
      </w:r>
      <w:r w:rsidRPr="00AF0F72">
        <w:rPr>
          <w:sz w:val="22"/>
          <w:szCs w:val="22"/>
        </w:rPr>
        <w:t>κριμένο ποσό θα μειωθεί στα 320 εκατ. ευρώ. Οι εν λόγω εγγυήσεις παρέχονται έναντι προμήθειας, η οποία αποτελεί έσοδο του Ελληνικού Δημοσίου. Συγκεκριμένα,</w:t>
      </w:r>
      <w:r w:rsidR="003840D1">
        <w:rPr>
          <w:sz w:val="22"/>
          <w:szCs w:val="22"/>
        </w:rPr>
        <w:t xml:space="preserve"> από την 01/01/</w:t>
      </w:r>
      <w:r w:rsidRPr="00AF0F72">
        <w:rPr>
          <w:sz w:val="22"/>
          <w:szCs w:val="22"/>
        </w:rPr>
        <w:t>2019 μέχρι τις 30</w:t>
      </w:r>
      <w:r w:rsidR="003840D1">
        <w:rPr>
          <w:sz w:val="22"/>
          <w:szCs w:val="22"/>
        </w:rPr>
        <w:t>/</w:t>
      </w:r>
      <w:r w:rsidRPr="00AF0F72">
        <w:rPr>
          <w:sz w:val="22"/>
          <w:szCs w:val="22"/>
        </w:rPr>
        <w:t>09</w:t>
      </w:r>
      <w:r w:rsidR="003840D1">
        <w:rPr>
          <w:sz w:val="22"/>
          <w:szCs w:val="22"/>
        </w:rPr>
        <w:t>/</w:t>
      </w:r>
      <w:r w:rsidRPr="00AF0F72">
        <w:rPr>
          <w:sz w:val="22"/>
          <w:szCs w:val="22"/>
        </w:rPr>
        <w:t>2019 εισπράχθηκαν 1,96 εκατ. ευρώ, ενώ μέχρι τις 31</w:t>
      </w:r>
      <w:r w:rsidR="003840D1">
        <w:rPr>
          <w:sz w:val="22"/>
          <w:szCs w:val="22"/>
        </w:rPr>
        <w:t>/</w:t>
      </w:r>
      <w:r w:rsidRPr="00AF0F72">
        <w:rPr>
          <w:sz w:val="22"/>
          <w:szCs w:val="22"/>
        </w:rPr>
        <w:t>12</w:t>
      </w:r>
      <w:r w:rsidR="003840D1">
        <w:rPr>
          <w:sz w:val="22"/>
          <w:szCs w:val="22"/>
        </w:rPr>
        <w:t>/</w:t>
      </w:r>
      <w:r w:rsidRPr="00AF0F72">
        <w:rPr>
          <w:sz w:val="22"/>
          <w:szCs w:val="22"/>
        </w:rPr>
        <w:t>2019 αναμένεται να εισπραχθούν σ</w:t>
      </w:r>
      <w:r w:rsidRPr="00AF0F72">
        <w:rPr>
          <w:sz w:val="22"/>
          <w:szCs w:val="22"/>
        </w:rPr>
        <w:t>υ</w:t>
      </w:r>
      <w:r w:rsidRPr="00AF0F72">
        <w:rPr>
          <w:sz w:val="22"/>
          <w:szCs w:val="22"/>
        </w:rPr>
        <w:t>νολικά 3,92 εκατ. ευρώ.</w:t>
      </w:r>
    </w:p>
    <w:p w:rsidR="0063566F" w:rsidRPr="00AF0F72" w:rsidRDefault="0063566F" w:rsidP="0063566F">
      <w:pPr>
        <w:jc w:val="both"/>
        <w:rPr>
          <w:sz w:val="22"/>
          <w:szCs w:val="22"/>
        </w:rPr>
      </w:pPr>
    </w:p>
    <w:p w:rsidR="0063566F" w:rsidRPr="00AF0F72" w:rsidRDefault="0063566F" w:rsidP="0063566F">
      <w:pPr>
        <w:jc w:val="both"/>
        <w:rPr>
          <w:sz w:val="22"/>
          <w:szCs w:val="22"/>
        </w:rPr>
      </w:pPr>
      <w:r w:rsidRPr="00AF0F72">
        <w:rPr>
          <w:sz w:val="22"/>
          <w:szCs w:val="22"/>
        </w:rPr>
        <w:t>Επισημαίνεται επίσης ότι η εφαρμογή του Μηχανισμού Έκτακτης Ενίσχυσης σε Ρευστότητα (</w:t>
      </w:r>
      <w:r w:rsidRPr="00AF0F72">
        <w:rPr>
          <w:sz w:val="22"/>
          <w:szCs w:val="22"/>
          <w:lang w:val="en-US"/>
        </w:rPr>
        <w:t>ELA</w:t>
      </w:r>
      <w:r w:rsidRPr="00AF0F72">
        <w:rPr>
          <w:sz w:val="22"/>
          <w:szCs w:val="22"/>
        </w:rPr>
        <w:t>), που τέθηκε σε ισχύ με τον ν.3845/2010</w:t>
      </w:r>
      <w:r>
        <w:rPr>
          <w:sz w:val="22"/>
          <w:szCs w:val="22"/>
        </w:rPr>
        <w:t xml:space="preserve"> </w:t>
      </w:r>
      <w:r w:rsidRPr="00AF0F72">
        <w:rPr>
          <w:sz w:val="22"/>
          <w:szCs w:val="22"/>
        </w:rPr>
        <w:t>και αφορούσε τη δυνατότητα παροχής εγγύησης του Ελλην</w:t>
      </w:r>
      <w:r w:rsidRPr="00AF0F72">
        <w:rPr>
          <w:sz w:val="22"/>
          <w:szCs w:val="22"/>
        </w:rPr>
        <w:t>ι</w:t>
      </w:r>
      <w:r w:rsidRPr="00AF0F72">
        <w:rPr>
          <w:sz w:val="22"/>
          <w:szCs w:val="22"/>
        </w:rPr>
        <w:t>κού Δημοσίου στην Τράπεζα της Ελλάδος, για την κάλυψη βραχυπρόθεσμων προβλημάτων ρευστ</w:t>
      </w:r>
      <w:r w:rsidRPr="00AF0F72">
        <w:rPr>
          <w:sz w:val="22"/>
          <w:szCs w:val="22"/>
        </w:rPr>
        <w:t>ό</w:t>
      </w:r>
      <w:r w:rsidRPr="00AF0F72">
        <w:rPr>
          <w:sz w:val="22"/>
          <w:szCs w:val="22"/>
        </w:rPr>
        <w:t>τητας τραπεζών, δεν ενεργοποιείται πλέον, λόγω σημαντικής βελτίωσης του οικονομικού και επενδ</w:t>
      </w:r>
      <w:r w:rsidRPr="00AF0F72">
        <w:rPr>
          <w:sz w:val="22"/>
          <w:szCs w:val="22"/>
        </w:rPr>
        <w:t>υ</w:t>
      </w:r>
      <w:r w:rsidRPr="00AF0F72">
        <w:rPr>
          <w:sz w:val="22"/>
          <w:szCs w:val="22"/>
        </w:rPr>
        <w:t>τικού κλίματος της χώρας.</w:t>
      </w:r>
    </w:p>
    <w:p w:rsidR="0063566F" w:rsidRPr="00AF0F72" w:rsidRDefault="0063566F" w:rsidP="0063566F">
      <w:pPr>
        <w:jc w:val="both"/>
        <w:rPr>
          <w:sz w:val="22"/>
          <w:szCs w:val="22"/>
        </w:rPr>
      </w:pPr>
    </w:p>
    <w:p w:rsidR="0063566F" w:rsidRPr="00AF0F72" w:rsidRDefault="0063566F" w:rsidP="0063566F">
      <w:pPr>
        <w:jc w:val="both"/>
        <w:rPr>
          <w:sz w:val="22"/>
          <w:szCs w:val="22"/>
        </w:rPr>
      </w:pPr>
      <w:r w:rsidRPr="00AF0F72">
        <w:rPr>
          <w:sz w:val="22"/>
          <w:szCs w:val="22"/>
        </w:rPr>
        <w:t>Επιπροσθέτως η Ευρωπαϊκή Τράπεζα Επενδύσεων (ΕΤΕπ) στο πλαίσιο προγραμμάτων ενίσχυσης της επιχειρηματικότητας χορηγεί δάνεια στα τραπεζικά ιδρύματα με αποκλειστικό σκοπό τη χρηματοδ</w:t>
      </w:r>
      <w:r w:rsidRPr="00AF0F72">
        <w:rPr>
          <w:sz w:val="22"/>
          <w:szCs w:val="22"/>
        </w:rPr>
        <w:t>ό</w:t>
      </w:r>
      <w:r w:rsidRPr="00AF0F72">
        <w:rPr>
          <w:sz w:val="22"/>
          <w:szCs w:val="22"/>
        </w:rPr>
        <w:t xml:space="preserve">τηση μικρών και μεσαίων επιχειρήσεων, για την εκτέλεση επενδυτικών έργων. </w:t>
      </w:r>
    </w:p>
    <w:p w:rsidR="0063566F" w:rsidRPr="00AF0F72" w:rsidRDefault="0063566F" w:rsidP="0063566F">
      <w:pPr>
        <w:jc w:val="both"/>
        <w:rPr>
          <w:sz w:val="22"/>
          <w:szCs w:val="22"/>
        </w:rPr>
      </w:pPr>
    </w:p>
    <w:p w:rsidR="0063566F" w:rsidRPr="00AF0F72" w:rsidRDefault="0063566F" w:rsidP="0063566F">
      <w:pPr>
        <w:jc w:val="both"/>
        <w:rPr>
          <w:sz w:val="22"/>
          <w:szCs w:val="22"/>
        </w:rPr>
      </w:pPr>
      <w:r w:rsidRPr="00AF0F72">
        <w:rPr>
          <w:sz w:val="22"/>
          <w:szCs w:val="22"/>
        </w:rPr>
        <w:t>Οι εγγυήσεις που έχουν παρασχεθεί προς την ΕΤΕπ για την κάλυψη των εν λόγω δανείων ανέρχονται σε 1,474 δισ. ευρώ, το ανεξόφλητο υπόλοιπο αυτών των δανείων είναι 1,282 δισ. ευρώ και έχει ε</w:t>
      </w:r>
      <w:r w:rsidRPr="00AF0F72">
        <w:rPr>
          <w:sz w:val="22"/>
          <w:szCs w:val="22"/>
        </w:rPr>
        <w:t>ι</w:t>
      </w:r>
      <w:r w:rsidRPr="00AF0F72">
        <w:rPr>
          <w:sz w:val="22"/>
          <w:szCs w:val="22"/>
        </w:rPr>
        <w:t>σπραχθεί προμήθεια 10,30 εκατ. ευρώ μέχρι τις 30</w:t>
      </w:r>
      <w:r w:rsidR="003840D1">
        <w:rPr>
          <w:sz w:val="22"/>
          <w:szCs w:val="22"/>
        </w:rPr>
        <w:t>/</w:t>
      </w:r>
      <w:r w:rsidRPr="00AF0F72">
        <w:rPr>
          <w:sz w:val="22"/>
          <w:szCs w:val="22"/>
        </w:rPr>
        <w:t>09</w:t>
      </w:r>
      <w:r w:rsidR="003840D1">
        <w:rPr>
          <w:sz w:val="22"/>
          <w:szCs w:val="22"/>
        </w:rPr>
        <w:t>/</w:t>
      </w:r>
      <w:r w:rsidRPr="00AF0F72">
        <w:rPr>
          <w:sz w:val="22"/>
          <w:szCs w:val="22"/>
        </w:rPr>
        <w:t>2019.</w:t>
      </w:r>
    </w:p>
    <w:p w:rsidR="0063566F" w:rsidRPr="00AF0F72" w:rsidRDefault="0063566F" w:rsidP="0063566F">
      <w:pPr>
        <w:jc w:val="both"/>
        <w:rPr>
          <w:sz w:val="22"/>
          <w:szCs w:val="22"/>
        </w:rPr>
      </w:pPr>
      <w:r>
        <w:rPr>
          <w:sz w:val="22"/>
          <w:szCs w:val="22"/>
        </w:rPr>
        <w:t xml:space="preserve"> </w:t>
      </w:r>
    </w:p>
    <w:p w:rsidR="0063566F" w:rsidRDefault="0063566F" w:rsidP="0063566F">
      <w:pPr>
        <w:jc w:val="both"/>
        <w:rPr>
          <w:sz w:val="22"/>
          <w:szCs w:val="22"/>
        </w:rPr>
      </w:pPr>
      <w:r w:rsidRPr="00AF0F72">
        <w:rPr>
          <w:sz w:val="22"/>
          <w:szCs w:val="22"/>
        </w:rPr>
        <w:t>Σήμερα η Ευρωπαϊκή Τράπεζα Επενδύσεων έχει θέσει σε εφαρμογή τα εξής νέα προγράμματα:</w:t>
      </w:r>
    </w:p>
    <w:p w:rsidR="0063566F" w:rsidRPr="00AF0F72" w:rsidRDefault="0063566F" w:rsidP="0063566F">
      <w:pPr>
        <w:jc w:val="both"/>
        <w:rPr>
          <w:sz w:val="22"/>
          <w:szCs w:val="22"/>
        </w:rPr>
      </w:pPr>
    </w:p>
    <w:p w:rsidR="0063566F" w:rsidRDefault="0063566F" w:rsidP="00893F7B">
      <w:pPr>
        <w:numPr>
          <w:ilvl w:val="0"/>
          <w:numId w:val="3"/>
        </w:numPr>
        <w:ind w:left="284" w:hanging="284"/>
        <w:jc w:val="both"/>
        <w:rPr>
          <w:sz w:val="22"/>
          <w:szCs w:val="22"/>
        </w:rPr>
      </w:pPr>
      <w:r w:rsidRPr="0063566F">
        <w:rPr>
          <w:sz w:val="22"/>
          <w:szCs w:val="22"/>
          <w:lang w:val="en-US"/>
        </w:rPr>
        <w:lastRenderedPageBreak/>
        <w:t>«</w:t>
      </w:r>
      <w:r w:rsidRPr="00AF0F72">
        <w:rPr>
          <w:sz w:val="22"/>
          <w:szCs w:val="22"/>
          <w:lang w:val="en-US"/>
        </w:rPr>
        <w:t xml:space="preserve">Loan for Youth </w:t>
      </w:r>
      <w:r>
        <w:rPr>
          <w:sz w:val="22"/>
          <w:szCs w:val="22"/>
          <w:lang w:val="en-US"/>
        </w:rPr>
        <w:t>Employment &amp; Female Empowerment</w:t>
      </w:r>
      <w:r w:rsidRPr="0063566F">
        <w:rPr>
          <w:sz w:val="22"/>
          <w:szCs w:val="22"/>
          <w:lang w:val="en-US"/>
        </w:rPr>
        <w:t>»</w:t>
      </w:r>
      <w:r w:rsidRPr="00AF0F72">
        <w:rPr>
          <w:sz w:val="22"/>
          <w:szCs w:val="22"/>
          <w:lang w:val="en-US"/>
        </w:rPr>
        <w:t xml:space="preserve"> </w:t>
      </w:r>
      <w:r w:rsidRPr="00AF0F72">
        <w:rPr>
          <w:sz w:val="22"/>
          <w:szCs w:val="22"/>
        </w:rPr>
        <w:t>ύψους</w:t>
      </w:r>
      <w:r w:rsidRPr="00AF0F72">
        <w:rPr>
          <w:sz w:val="22"/>
          <w:szCs w:val="22"/>
          <w:lang w:val="en-US"/>
        </w:rPr>
        <w:t xml:space="preserve"> 500 </w:t>
      </w:r>
      <w:r>
        <w:rPr>
          <w:sz w:val="22"/>
          <w:szCs w:val="22"/>
        </w:rPr>
        <w:t>εκατ</w:t>
      </w:r>
      <w:r w:rsidRPr="00AF0F72">
        <w:rPr>
          <w:sz w:val="22"/>
          <w:szCs w:val="22"/>
          <w:lang w:val="en-US"/>
        </w:rPr>
        <w:t xml:space="preserve">. </w:t>
      </w:r>
      <w:r w:rsidRPr="00AF0F72">
        <w:rPr>
          <w:sz w:val="22"/>
          <w:szCs w:val="22"/>
        </w:rPr>
        <w:t>ευρώ</w:t>
      </w:r>
      <w:r w:rsidRPr="00AF0F72">
        <w:rPr>
          <w:sz w:val="22"/>
          <w:szCs w:val="22"/>
          <w:lang w:val="en-US"/>
        </w:rPr>
        <w:t xml:space="preserve">. </w:t>
      </w:r>
      <w:r w:rsidRPr="00AF0F72">
        <w:rPr>
          <w:sz w:val="22"/>
          <w:szCs w:val="22"/>
        </w:rPr>
        <w:t>Σκοπός του πρ</w:t>
      </w:r>
      <w:r w:rsidRPr="00AF0F72">
        <w:rPr>
          <w:sz w:val="22"/>
          <w:szCs w:val="22"/>
        </w:rPr>
        <w:t>ο</w:t>
      </w:r>
      <w:r w:rsidRPr="00AF0F72">
        <w:rPr>
          <w:sz w:val="22"/>
          <w:szCs w:val="22"/>
        </w:rPr>
        <w:t xml:space="preserve">γράμματος είναι η χρηματοδότηση των πιστωτικών ιδρυμάτων, τα οποία θα χρηματοδοτούν τα </w:t>
      </w:r>
      <w:r w:rsidRPr="00AF0F72">
        <w:rPr>
          <w:sz w:val="22"/>
          <w:szCs w:val="22"/>
        </w:rPr>
        <w:t>ε</w:t>
      </w:r>
      <w:r w:rsidRPr="00AF0F72">
        <w:rPr>
          <w:sz w:val="22"/>
          <w:szCs w:val="22"/>
        </w:rPr>
        <w:t>πενδυτικά σχέδια που προωθούνται από μικρές και μεσαίες επιχειρήσεις, καθώς και επιχειρήσεις μεσαίας κεφαλαιοποίησης που δραστηριοποιούνται σε επιλέξιμους από την ΕΤΕπ τομείς και με έμφαση στην απασχόληση νέων και την ενδυνάμωση της θέσης της γυναίκας σε θέσεις ευθύνης.</w:t>
      </w:r>
    </w:p>
    <w:p w:rsidR="003840D1" w:rsidRPr="00AF0F72" w:rsidRDefault="003840D1" w:rsidP="003840D1">
      <w:pPr>
        <w:ind w:left="284"/>
        <w:jc w:val="both"/>
        <w:rPr>
          <w:sz w:val="22"/>
          <w:szCs w:val="22"/>
        </w:rPr>
      </w:pPr>
    </w:p>
    <w:p w:rsidR="0063566F" w:rsidRDefault="0063566F" w:rsidP="00893F7B">
      <w:pPr>
        <w:numPr>
          <w:ilvl w:val="0"/>
          <w:numId w:val="3"/>
        </w:numPr>
        <w:ind w:left="284" w:hanging="284"/>
        <w:jc w:val="both"/>
        <w:rPr>
          <w:sz w:val="22"/>
          <w:szCs w:val="22"/>
        </w:rPr>
      </w:pPr>
      <w:r>
        <w:rPr>
          <w:sz w:val="22"/>
          <w:szCs w:val="22"/>
        </w:rPr>
        <w:t>«</w:t>
      </w:r>
      <w:r w:rsidRPr="00AF0F72">
        <w:rPr>
          <w:sz w:val="22"/>
          <w:szCs w:val="22"/>
        </w:rPr>
        <w:t>Greece Leasing Loan for SMEs &amp; MidCaps</w:t>
      </w:r>
      <w:r>
        <w:rPr>
          <w:sz w:val="22"/>
          <w:szCs w:val="22"/>
        </w:rPr>
        <w:t>»</w:t>
      </w:r>
      <w:r w:rsidRPr="00AF0F72">
        <w:rPr>
          <w:sz w:val="22"/>
          <w:szCs w:val="22"/>
        </w:rPr>
        <w:t xml:space="preserve"> του 2018, πρόγραμμα χρηματοδοτικής μίσθωσης για αντικατ</w:t>
      </w:r>
      <w:r w:rsidR="003840D1">
        <w:rPr>
          <w:sz w:val="22"/>
          <w:szCs w:val="22"/>
        </w:rPr>
        <w:t>άσταση εξοπλισμού επιχειρήσεων.</w:t>
      </w:r>
    </w:p>
    <w:p w:rsidR="003840D1" w:rsidRPr="00AF0F72" w:rsidRDefault="003840D1" w:rsidP="003840D1">
      <w:pPr>
        <w:ind w:left="284"/>
        <w:jc w:val="both"/>
        <w:rPr>
          <w:sz w:val="22"/>
          <w:szCs w:val="22"/>
        </w:rPr>
      </w:pPr>
    </w:p>
    <w:p w:rsidR="0063566F" w:rsidRPr="00AF0F72" w:rsidRDefault="0063566F" w:rsidP="00893F7B">
      <w:pPr>
        <w:numPr>
          <w:ilvl w:val="0"/>
          <w:numId w:val="3"/>
        </w:numPr>
        <w:ind w:left="284" w:hanging="284"/>
        <w:jc w:val="both"/>
        <w:rPr>
          <w:sz w:val="22"/>
          <w:szCs w:val="22"/>
        </w:rPr>
      </w:pPr>
      <w:r>
        <w:rPr>
          <w:sz w:val="22"/>
          <w:szCs w:val="22"/>
        </w:rPr>
        <w:t>«</w:t>
      </w:r>
      <w:r w:rsidRPr="00AF0F72">
        <w:rPr>
          <w:sz w:val="22"/>
          <w:szCs w:val="22"/>
        </w:rPr>
        <w:t>Private Finance for Energy Efficiency</w:t>
      </w:r>
      <w:r>
        <w:rPr>
          <w:sz w:val="22"/>
          <w:szCs w:val="22"/>
        </w:rPr>
        <w:t>»</w:t>
      </w:r>
      <w:r w:rsidRPr="00AF0F72">
        <w:rPr>
          <w:sz w:val="22"/>
          <w:szCs w:val="22"/>
        </w:rPr>
        <w:t xml:space="preserve"> του 2018, πιλοτικό πρόγραμμα για την ενεργειακή απ</w:t>
      </w:r>
      <w:r w:rsidRPr="00AF0F72">
        <w:rPr>
          <w:sz w:val="22"/>
          <w:szCs w:val="22"/>
        </w:rPr>
        <w:t>ό</w:t>
      </w:r>
      <w:r w:rsidRPr="00AF0F72">
        <w:rPr>
          <w:sz w:val="22"/>
          <w:szCs w:val="22"/>
        </w:rPr>
        <w:t>δοση επιχειρήσεων, ΝΠΔΔ και φυσικών προσώπων.</w:t>
      </w:r>
    </w:p>
    <w:p w:rsidR="007C7B9B" w:rsidRDefault="007C7B9B" w:rsidP="007C7B9B">
      <w:pPr>
        <w:spacing w:line="238" w:lineRule="auto"/>
        <w:jc w:val="both"/>
        <w:rPr>
          <w:sz w:val="22"/>
          <w:szCs w:val="22"/>
        </w:rPr>
      </w:pPr>
    </w:p>
    <w:sectPr w:rsidR="007C7B9B" w:rsidSect="00764006">
      <w:headerReference w:type="even" r:id="rId16"/>
      <w:headerReference w:type="default" r:id="rId17"/>
      <w:footerReference w:type="even" r:id="rId18"/>
      <w:footerReference w:type="default" r:id="rId19"/>
      <w:pgSz w:w="11906" w:h="16838" w:code="9"/>
      <w:pgMar w:top="1418" w:right="1247" w:bottom="1418" w:left="1588" w:header="709" w:footer="709" w:gutter="0"/>
      <w:pgNumType w:start="1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2E0" w:rsidRDefault="008312E0">
      <w:r>
        <w:separator/>
      </w:r>
    </w:p>
  </w:endnote>
  <w:endnote w:type="continuationSeparator" w:id="0">
    <w:p w:rsidR="008312E0" w:rsidRDefault="008312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TimesNewRoman,Bold">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TimesNewRoman,Bold+1">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99" w:rsidRPr="009A2CF7" w:rsidRDefault="000234CB" w:rsidP="00F85CFF">
    <w:pPr>
      <w:pStyle w:val="a4"/>
      <w:jc w:val="both"/>
      <w:rPr>
        <w:color w:val="333333"/>
      </w:rPr>
    </w:pPr>
    <w:r w:rsidRPr="00715F2C">
      <w:rPr>
        <w:rStyle w:val="a5"/>
        <w:b/>
        <w:sz w:val="28"/>
      </w:rPr>
      <w:fldChar w:fldCharType="begin"/>
    </w:r>
    <w:r w:rsidR="00AA7799" w:rsidRPr="00715F2C">
      <w:rPr>
        <w:rStyle w:val="a5"/>
        <w:b/>
        <w:sz w:val="28"/>
      </w:rPr>
      <w:instrText xml:space="preserve"> PAGE </w:instrText>
    </w:r>
    <w:r w:rsidRPr="00715F2C">
      <w:rPr>
        <w:rStyle w:val="a5"/>
        <w:b/>
        <w:sz w:val="28"/>
      </w:rPr>
      <w:fldChar w:fldCharType="separate"/>
    </w:r>
    <w:r w:rsidR="008471D5">
      <w:rPr>
        <w:rStyle w:val="a5"/>
        <w:b/>
        <w:noProof/>
        <w:sz w:val="28"/>
      </w:rPr>
      <w:t>142</w:t>
    </w:r>
    <w:r w:rsidRPr="00715F2C">
      <w:rPr>
        <w:rStyle w:val="a5"/>
        <w:b/>
        <w:sz w:val="28"/>
      </w:rPr>
      <w:fldChar w:fldCharType="end"/>
    </w:r>
    <w:r w:rsidR="00AA7799">
      <w:rPr>
        <w:rStyle w:val="a5"/>
        <w:b/>
        <w:color w:val="000080"/>
        <w:sz w:val="28"/>
      </w:rPr>
      <w:t xml:space="preserve">  </w:t>
    </w:r>
    <w:r w:rsidR="00AA7799">
      <w:rPr>
        <w:rFonts w:ascii="Arial Narrow" w:hAnsi="Arial Narrow"/>
        <w:color w:val="333333"/>
        <w:sz w:val="22"/>
      </w:rPr>
      <w:t>ΚΡΑΤΙΚΟΣ ΠΡΟΫΠΟΛΟΓΙΣΜΟΣ 2020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99" w:rsidRPr="00D40E4A" w:rsidRDefault="00AA7799" w:rsidP="00D40E4A">
    <w:pPr>
      <w:pStyle w:val="a4"/>
      <w:jc w:val="right"/>
      <w:rPr>
        <w:rFonts w:ascii="Arial Narrow" w:hAnsi="Arial Narrow"/>
        <w:sz w:val="22"/>
      </w:rPr>
    </w:pPr>
    <w:r>
      <w:rPr>
        <w:rFonts w:ascii="Arial Narrow" w:hAnsi="Arial Narrow"/>
        <w:color w:val="333333"/>
        <w:sz w:val="22"/>
      </w:rPr>
      <w:t>ΚΡΑΤΙΚΟΣ ΠΡΟΫΠΟΛΟΓΙΣΜΟΣ 2020</w:t>
    </w:r>
    <w:r w:rsidRPr="008857CA">
      <w:rPr>
        <w:rFonts w:ascii="Arial Narrow" w:hAnsi="Arial Narrow"/>
        <w:color w:val="333333"/>
        <w:sz w:val="22"/>
      </w:rPr>
      <w:t xml:space="preserve">  </w:t>
    </w:r>
    <w:r w:rsidR="000234CB" w:rsidRPr="00715F2C">
      <w:rPr>
        <w:rStyle w:val="a5"/>
        <w:b/>
        <w:sz w:val="28"/>
      </w:rPr>
      <w:fldChar w:fldCharType="begin"/>
    </w:r>
    <w:r w:rsidRPr="00715F2C">
      <w:rPr>
        <w:rStyle w:val="a5"/>
        <w:b/>
        <w:sz w:val="28"/>
      </w:rPr>
      <w:instrText xml:space="preserve"> PAGE </w:instrText>
    </w:r>
    <w:r w:rsidR="000234CB" w:rsidRPr="00715F2C">
      <w:rPr>
        <w:rStyle w:val="a5"/>
        <w:b/>
        <w:sz w:val="28"/>
      </w:rPr>
      <w:fldChar w:fldCharType="separate"/>
    </w:r>
    <w:r w:rsidR="008471D5">
      <w:rPr>
        <w:rStyle w:val="a5"/>
        <w:b/>
        <w:noProof/>
        <w:sz w:val="28"/>
      </w:rPr>
      <w:t>141</w:t>
    </w:r>
    <w:r w:rsidR="000234CB" w:rsidRPr="00715F2C">
      <w:rPr>
        <w:rStyle w:val="a5"/>
        <w:b/>
        <w:sz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2E0" w:rsidRDefault="008312E0">
      <w:r>
        <w:separator/>
      </w:r>
    </w:p>
  </w:footnote>
  <w:footnote w:type="continuationSeparator" w:id="0">
    <w:p w:rsidR="008312E0" w:rsidRDefault="008312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99" w:rsidRPr="00D40E4A" w:rsidRDefault="00AA7799" w:rsidP="00D40E4A">
    <w:pPr>
      <w:pStyle w:val="a3"/>
      <w:jc w:val="both"/>
      <w:rPr>
        <w:rFonts w:ascii="Arial Narrow" w:hAnsi="Arial Narrow"/>
        <w:b/>
        <w:color w:val="808080"/>
        <w:sz w:val="22"/>
      </w:rPr>
    </w:pPr>
    <w:r w:rsidRPr="008857CA">
      <w:rPr>
        <w:rFonts w:ascii="Arial Narrow" w:hAnsi="Arial Narrow"/>
        <w:color w:val="333333"/>
        <w:sz w:val="22"/>
      </w:rPr>
      <w:t>ΕΙΣΗΓΗΤΙΚΗ ΕΚΘΕΣΗ</w:t>
    </w:r>
    <w:r w:rsidRPr="00D40E4A">
      <w:rPr>
        <w:rFonts w:ascii="Arial Narrow" w:hAnsi="Arial Narrow"/>
        <w:b/>
        <w:color w:val="808080"/>
        <w:sz w:val="22"/>
      </w:rPr>
      <w:t xml:space="preserve"> </w:t>
    </w:r>
    <w:r>
      <w:rPr>
        <w:rFonts w:ascii="Arial Narrow" w:hAnsi="Arial Narrow"/>
        <w:b/>
        <w:color w:val="808080"/>
        <w:sz w:val="22"/>
        <w:lang w:val="en-US"/>
      </w:rPr>
      <w:t xml:space="preserve"> </w:t>
    </w:r>
    <w:r>
      <w:rPr>
        <w:rFonts w:ascii="Arial Narrow" w:hAnsi="Arial Narrow"/>
        <w:b/>
        <w:color w:val="808080"/>
        <w:sz w:val="22"/>
      </w:rPr>
      <w:t>ΚΕΦΑΛΑΙΟ 4</w:t>
    </w:r>
    <w:r w:rsidRPr="00D40E4A">
      <w:rPr>
        <w:rFonts w:ascii="Arial Narrow" w:hAnsi="Arial Narrow"/>
        <w:b/>
        <w:color w:val="808080"/>
        <w:sz w:val="22"/>
      </w:rPr>
      <w:t xml:space="preserve">  </w:t>
    </w:r>
  </w:p>
  <w:p w:rsidR="00AA7799" w:rsidRDefault="00AA779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99" w:rsidRPr="00D40E4A" w:rsidRDefault="00AA7799" w:rsidP="00D40E4A">
    <w:pPr>
      <w:pStyle w:val="a3"/>
      <w:jc w:val="right"/>
      <w:rPr>
        <w:rFonts w:ascii="Arial Narrow" w:hAnsi="Arial Narrow"/>
        <w:b/>
        <w:color w:val="808080"/>
        <w:sz w:val="22"/>
      </w:rPr>
    </w:pPr>
    <w:r w:rsidRPr="008857CA">
      <w:rPr>
        <w:rFonts w:ascii="Arial Narrow" w:hAnsi="Arial Narrow"/>
        <w:color w:val="333333"/>
        <w:sz w:val="22"/>
      </w:rPr>
      <w:t>ΕΙΣΗΓΗΤΙΚΗ ΕΚΘΕΣΗ</w:t>
    </w:r>
    <w:r w:rsidRPr="00D40E4A">
      <w:rPr>
        <w:rFonts w:ascii="Arial Narrow" w:hAnsi="Arial Narrow"/>
        <w:b/>
        <w:color w:val="808080"/>
        <w:sz w:val="22"/>
      </w:rPr>
      <w:t xml:space="preserve"> </w:t>
    </w:r>
    <w:r>
      <w:rPr>
        <w:rFonts w:ascii="Arial Narrow" w:hAnsi="Arial Narrow"/>
        <w:b/>
        <w:color w:val="808080"/>
        <w:sz w:val="22"/>
        <w:lang w:val="en-US"/>
      </w:rPr>
      <w:t xml:space="preserve"> </w:t>
    </w:r>
    <w:r w:rsidRPr="00D40E4A">
      <w:rPr>
        <w:rFonts w:ascii="Arial Narrow" w:hAnsi="Arial Narrow"/>
        <w:b/>
        <w:color w:val="808080"/>
        <w:sz w:val="22"/>
      </w:rPr>
      <w:t xml:space="preserve">ΚΕΦΑΛΑΙΟ </w:t>
    </w:r>
    <w:r>
      <w:rPr>
        <w:rFonts w:ascii="Arial Narrow" w:hAnsi="Arial Narrow"/>
        <w:b/>
        <w:color w:val="808080"/>
        <w:sz w:val="22"/>
      </w:rPr>
      <w:t>4</w:t>
    </w:r>
    <w:r w:rsidRPr="00D40E4A">
      <w:rPr>
        <w:rFonts w:ascii="Arial Narrow" w:hAnsi="Arial Narrow"/>
        <w:b/>
        <w:color w:val="808080"/>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DC4054"/>
    <w:multiLevelType w:val="hybridMultilevel"/>
    <w:tmpl w:val="20B29A4A"/>
    <w:lvl w:ilvl="0" w:tplc="04080001">
      <w:start w:val="1"/>
      <w:numFmt w:val="bullet"/>
      <w:lvlText w:val=""/>
      <w:lvlJc w:val="left"/>
      <w:pPr>
        <w:ind w:left="776" w:hanging="360"/>
      </w:pPr>
      <w:rPr>
        <w:rFonts w:ascii="Symbol" w:hAnsi="Symbol" w:hint="default"/>
      </w:rPr>
    </w:lvl>
    <w:lvl w:ilvl="1" w:tplc="04080003" w:tentative="1">
      <w:start w:val="1"/>
      <w:numFmt w:val="bullet"/>
      <w:lvlText w:val="o"/>
      <w:lvlJc w:val="left"/>
      <w:pPr>
        <w:ind w:left="1496" w:hanging="360"/>
      </w:pPr>
      <w:rPr>
        <w:rFonts w:ascii="Courier New" w:hAnsi="Courier New" w:cs="Courier New" w:hint="default"/>
      </w:rPr>
    </w:lvl>
    <w:lvl w:ilvl="2" w:tplc="04080005" w:tentative="1">
      <w:start w:val="1"/>
      <w:numFmt w:val="bullet"/>
      <w:lvlText w:val=""/>
      <w:lvlJc w:val="left"/>
      <w:pPr>
        <w:ind w:left="2216" w:hanging="360"/>
      </w:pPr>
      <w:rPr>
        <w:rFonts w:ascii="Wingdings" w:hAnsi="Wingdings" w:hint="default"/>
      </w:rPr>
    </w:lvl>
    <w:lvl w:ilvl="3" w:tplc="04080001" w:tentative="1">
      <w:start w:val="1"/>
      <w:numFmt w:val="bullet"/>
      <w:lvlText w:val=""/>
      <w:lvlJc w:val="left"/>
      <w:pPr>
        <w:ind w:left="2936" w:hanging="360"/>
      </w:pPr>
      <w:rPr>
        <w:rFonts w:ascii="Symbol" w:hAnsi="Symbol" w:hint="default"/>
      </w:rPr>
    </w:lvl>
    <w:lvl w:ilvl="4" w:tplc="04080003" w:tentative="1">
      <w:start w:val="1"/>
      <w:numFmt w:val="bullet"/>
      <w:lvlText w:val="o"/>
      <w:lvlJc w:val="left"/>
      <w:pPr>
        <w:ind w:left="3656" w:hanging="360"/>
      </w:pPr>
      <w:rPr>
        <w:rFonts w:ascii="Courier New" w:hAnsi="Courier New" w:cs="Courier New" w:hint="default"/>
      </w:rPr>
    </w:lvl>
    <w:lvl w:ilvl="5" w:tplc="04080005" w:tentative="1">
      <w:start w:val="1"/>
      <w:numFmt w:val="bullet"/>
      <w:lvlText w:val=""/>
      <w:lvlJc w:val="left"/>
      <w:pPr>
        <w:ind w:left="4376" w:hanging="360"/>
      </w:pPr>
      <w:rPr>
        <w:rFonts w:ascii="Wingdings" w:hAnsi="Wingdings" w:hint="default"/>
      </w:rPr>
    </w:lvl>
    <w:lvl w:ilvl="6" w:tplc="04080001" w:tentative="1">
      <w:start w:val="1"/>
      <w:numFmt w:val="bullet"/>
      <w:lvlText w:val=""/>
      <w:lvlJc w:val="left"/>
      <w:pPr>
        <w:ind w:left="5096" w:hanging="360"/>
      </w:pPr>
      <w:rPr>
        <w:rFonts w:ascii="Symbol" w:hAnsi="Symbol" w:hint="default"/>
      </w:rPr>
    </w:lvl>
    <w:lvl w:ilvl="7" w:tplc="04080003" w:tentative="1">
      <w:start w:val="1"/>
      <w:numFmt w:val="bullet"/>
      <w:lvlText w:val="o"/>
      <w:lvlJc w:val="left"/>
      <w:pPr>
        <w:ind w:left="5816" w:hanging="360"/>
      </w:pPr>
      <w:rPr>
        <w:rFonts w:ascii="Courier New" w:hAnsi="Courier New" w:cs="Courier New" w:hint="default"/>
      </w:rPr>
    </w:lvl>
    <w:lvl w:ilvl="8" w:tplc="04080005" w:tentative="1">
      <w:start w:val="1"/>
      <w:numFmt w:val="bullet"/>
      <w:lvlText w:val=""/>
      <w:lvlJc w:val="left"/>
      <w:pPr>
        <w:ind w:left="6536" w:hanging="360"/>
      </w:pPr>
      <w:rPr>
        <w:rFonts w:ascii="Wingdings" w:hAnsi="Wingdings" w:hint="default"/>
      </w:rPr>
    </w:lvl>
  </w:abstractNum>
  <w:abstractNum w:abstractNumId="1">
    <w:nsid w:val="55D46B44"/>
    <w:multiLevelType w:val="hybridMultilevel"/>
    <w:tmpl w:val="CFC2CCEA"/>
    <w:lvl w:ilvl="0" w:tplc="EDE279A0">
      <w:start w:val="1"/>
      <w:numFmt w:val="bullet"/>
      <w:lvlText w:val=""/>
      <w:lvlJc w:val="left"/>
      <w:pPr>
        <w:tabs>
          <w:tab w:val="num" w:pos="1080"/>
        </w:tabs>
        <w:ind w:left="1080" w:hanging="360"/>
      </w:pPr>
      <w:rPr>
        <w:rFonts w:ascii="Symbol" w:hAnsi="Symbol" w:hint="default"/>
        <w:sz w:val="22"/>
        <w:szCs w:val="22"/>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
    <w:nsid w:val="7416413A"/>
    <w:multiLevelType w:val="hybridMultilevel"/>
    <w:tmpl w:val="B85C2DF4"/>
    <w:lvl w:ilvl="0" w:tplc="04080001">
      <w:start w:val="1"/>
      <w:numFmt w:val="bullet"/>
      <w:lvlText w:val=""/>
      <w:lvlJc w:val="left"/>
      <w:pPr>
        <w:ind w:left="720" w:hanging="360"/>
      </w:pPr>
      <w:rPr>
        <w:rFonts w:ascii="Symbol" w:hAnsi="Symbol" w:hint="default"/>
        <w:b w:val="0"/>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onysis Mouzakis">
    <w15:presenceInfo w15:providerId="AD" w15:userId="S-1-5-21-506546393-3255317081-1193680798-113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attachedTemplate r:id="rId1"/>
  <w:stylePaneFormatFilter w:val="3F01"/>
  <w:defaultTabStop w:val="720"/>
  <w:autoHyphenation/>
  <w:hyphenationZone w:val="284"/>
  <w:evenAndOddHeaders/>
  <w:noPunctuationKerning/>
  <w:characterSpacingControl w:val="doNotCompress"/>
  <w:footnotePr>
    <w:footnote w:id="-1"/>
    <w:footnote w:id="0"/>
  </w:footnotePr>
  <w:endnotePr>
    <w:endnote w:id="-1"/>
    <w:endnote w:id="0"/>
  </w:endnotePr>
  <w:compat/>
  <w:rsids>
    <w:rsidRoot w:val="00D40E4A"/>
    <w:rsid w:val="000004AC"/>
    <w:rsid w:val="00000FFB"/>
    <w:rsid w:val="00002D30"/>
    <w:rsid w:val="000039B8"/>
    <w:rsid w:val="000107A3"/>
    <w:rsid w:val="00010A99"/>
    <w:rsid w:val="000122B0"/>
    <w:rsid w:val="00012851"/>
    <w:rsid w:val="00012EFA"/>
    <w:rsid w:val="00014FFC"/>
    <w:rsid w:val="0001554D"/>
    <w:rsid w:val="0001593B"/>
    <w:rsid w:val="00015BEA"/>
    <w:rsid w:val="00015D0B"/>
    <w:rsid w:val="00015F55"/>
    <w:rsid w:val="00016192"/>
    <w:rsid w:val="00016990"/>
    <w:rsid w:val="000179AF"/>
    <w:rsid w:val="00022012"/>
    <w:rsid w:val="000234CB"/>
    <w:rsid w:val="00023B2A"/>
    <w:rsid w:val="0002413E"/>
    <w:rsid w:val="00024267"/>
    <w:rsid w:val="00026B5F"/>
    <w:rsid w:val="00026EF0"/>
    <w:rsid w:val="000302A8"/>
    <w:rsid w:val="0003141E"/>
    <w:rsid w:val="00031CB7"/>
    <w:rsid w:val="00032F3C"/>
    <w:rsid w:val="00032FBA"/>
    <w:rsid w:val="00035398"/>
    <w:rsid w:val="00037206"/>
    <w:rsid w:val="00037608"/>
    <w:rsid w:val="00037944"/>
    <w:rsid w:val="00037CF5"/>
    <w:rsid w:val="00040F85"/>
    <w:rsid w:val="00042730"/>
    <w:rsid w:val="000453DA"/>
    <w:rsid w:val="0004664D"/>
    <w:rsid w:val="00047271"/>
    <w:rsid w:val="00047FBE"/>
    <w:rsid w:val="000519B2"/>
    <w:rsid w:val="00051CBE"/>
    <w:rsid w:val="00051FB5"/>
    <w:rsid w:val="00051FCC"/>
    <w:rsid w:val="00053C6C"/>
    <w:rsid w:val="00053FC1"/>
    <w:rsid w:val="00054969"/>
    <w:rsid w:val="000554C7"/>
    <w:rsid w:val="00057C99"/>
    <w:rsid w:val="000604B7"/>
    <w:rsid w:val="00060655"/>
    <w:rsid w:val="00060EFA"/>
    <w:rsid w:val="00063239"/>
    <w:rsid w:val="00063F39"/>
    <w:rsid w:val="00064EF9"/>
    <w:rsid w:val="00066606"/>
    <w:rsid w:val="00067DD1"/>
    <w:rsid w:val="0007009A"/>
    <w:rsid w:val="00071668"/>
    <w:rsid w:val="00072567"/>
    <w:rsid w:val="00073D02"/>
    <w:rsid w:val="000749A7"/>
    <w:rsid w:val="00074C4B"/>
    <w:rsid w:val="00075428"/>
    <w:rsid w:val="00080FAA"/>
    <w:rsid w:val="000819F1"/>
    <w:rsid w:val="00083359"/>
    <w:rsid w:val="000834E3"/>
    <w:rsid w:val="00083ABC"/>
    <w:rsid w:val="00083D98"/>
    <w:rsid w:val="000843A1"/>
    <w:rsid w:val="000852A8"/>
    <w:rsid w:val="00085BD5"/>
    <w:rsid w:val="00086D01"/>
    <w:rsid w:val="00087EB9"/>
    <w:rsid w:val="000906BC"/>
    <w:rsid w:val="00090936"/>
    <w:rsid w:val="00090F04"/>
    <w:rsid w:val="00091F40"/>
    <w:rsid w:val="000934F1"/>
    <w:rsid w:val="00093A16"/>
    <w:rsid w:val="0009422B"/>
    <w:rsid w:val="000963BB"/>
    <w:rsid w:val="000A08B3"/>
    <w:rsid w:val="000A1484"/>
    <w:rsid w:val="000A154E"/>
    <w:rsid w:val="000A190C"/>
    <w:rsid w:val="000A320B"/>
    <w:rsid w:val="000A3D2F"/>
    <w:rsid w:val="000A3E64"/>
    <w:rsid w:val="000A44FE"/>
    <w:rsid w:val="000A55D8"/>
    <w:rsid w:val="000A5D5B"/>
    <w:rsid w:val="000A7EF2"/>
    <w:rsid w:val="000B14FA"/>
    <w:rsid w:val="000B1539"/>
    <w:rsid w:val="000B15E5"/>
    <w:rsid w:val="000B2AEF"/>
    <w:rsid w:val="000B2C67"/>
    <w:rsid w:val="000B5ABB"/>
    <w:rsid w:val="000B6759"/>
    <w:rsid w:val="000B67FE"/>
    <w:rsid w:val="000C2662"/>
    <w:rsid w:val="000C2E98"/>
    <w:rsid w:val="000C366F"/>
    <w:rsid w:val="000C5443"/>
    <w:rsid w:val="000C7353"/>
    <w:rsid w:val="000D08DD"/>
    <w:rsid w:val="000D0A85"/>
    <w:rsid w:val="000D18B1"/>
    <w:rsid w:val="000D1D7A"/>
    <w:rsid w:val="000D22DE"/>
    <w:rsid w:val="000D2557"/>
    <w:rsid w:val="000D4E38"/>
    <w:rsid w:val="000D662A"/>
    <w:rsid w:val="000D6D97"/>
    <w:rsid w:val="000D6FBF"/>
    <w:rsid w:val="000D70E5"/>
    <w:rsid w:val="000D74D1"/>
    <w:rsid w:val="000E16B6"/>
    <w:rsid w:val="000E309F"/>
    <w:rsid w:val="000E3F5E"/>
    <w:rsid w:val="000E7E22"/>
    <w:rsid w:val="000F039F"/>
    <w:rsid w:val="000F1D63"/>
    <w:rsid w:val="000F42E7"/>
    <w:rsid w:val="000F5FCB"/>
    <w:rsid w:val="000F67B9"/>
    <w:rsid w:val="000F6DF8"/>
    <w:rsid w:val="000F70B8"/>
    <w:rsid w:val="00102360"/>
    <w:rsid w:val="00102B0B"/>
    <w:rsid w:val="00103D2B"/>
    <w:rsid w:val="00104C50"/>
    <w:rsid w:val="001053C0"/>
    <w:rsid w:val="0010729F"/>
    <w:rsid w:val="00110BCA"/>
    <w:rsid w:val="001124EF"/>
    <w:rsid w:val="001128BF"/>
    <w:rsid w:val="00114BA7"/>
    <w:rsid w:val="0011536E"/>
    <w:rsid w:val="00115C55"/>
    <w:rsid w:val="00117441"/>
    <w:rsid w:val="0012069B"/>
    <w:rsid w:val="0012344C"/>
    <w:rsid w:val="001236E3"/>
    <w:rsid w:val="00125463"/>
    <w:rsid w:val="00125B83"/>
    <w:rsid w:val="00126C1F"/>
    <w:rsid w:val="00132525"/>
    <w:rsid w:val="00132CC5"/>
    <w:rsid w:val="00132FE8"/>
    <w:rsid w:val="001330C1"/>
    <w:rsid w:val="001339BE"/>
    <w:rsid w:val="00133A8F"/>
    <w:rsid w:val="0013476E"/>
    <w:rsid w:val="001362A3"/>
    <w:rsid w:val="00140452"/>
    <w:rsid w:val="00140817"/>
    <w:rsid w:val="00140DA4"/>
    <w:rsid w:val="00141B72"/>
    <w:rsid w:val="00142F5D"/>
    <w:rsid w:val="00145CD1"/>
    <w:rsid w:val="001471E5"/>
    <w:rsid w:val="0015043C"/>
    <w:rsid w:val="0015181A"/>
    <w:rsid w:val="00151E27"/>
    <w:rsid w:val="00151F03"/>
    <w:rsid w:val="00153748"/>
    <w:rsid w:val="0015500E"/>
    <w:rsid w:val="00155D14"/>
    <w:rsid w:val="00155EE5"/>
    <w:rsid w:val="001561CD"/>
    <w:rsid w:val="00157CB6"/>
    <w:rsid w:val="00164759"/>
    <w:rsid w:val="00166BA6"/>
    <w:rsid w:val="00166E89"/>
    <w:rsid w:val="00167E24"/>
    <w:rsid w:val="00167EF8"/>
    <w:rsid w:val="00172632"/>
    <w:rsid w:val="00173359"/>
    <w:rsid w:val="00173DFF"/>
    <w:rsid w:val="001755EE"/>
    <w:rsid w:val="001765AE"/>
    <w:rsid w:val="0017686E"/>
    <w:rsid w:val="00176B84"/>
    <w:rsid w:val="00176C15"/>
    <w:rsid w:val="0017771C"/>
    <w:rsid w:val="00177B26"/>
    <w:rsid w:val="00177F7B"/>
    <w:rsid w:val="001807C2"/>
    <w:rsid w:val="00181440"/>
    <w:rsid w:val="001829F9"/>
    <w:rsid w:val="001843BC"/>
    <w:rsid w:val="00184CCC"/>
    <w:rsid w:val="00185485"/>
    <w:rsid w:val="0018754F"/>
    <w:rsid w:val="00190D86"/>
    <w:rsid w:val="00191382"/>
    <w:rsid w:val="00191857"/>
    <w:rsid w:val="001926D6"/>
    <w:rsid w:val="00192797"/>
    <w:rsid w:val="00192D70"/>
    <w:rsid w:val="0019382D"/>
    <w:rsid w:val="00194744"/>
    <w:rsid w:val="00195619"/>
    <w:rsid w:val="00195C0D"/>
    <w:rsid w:val="0019660D"/>
    <w:rsid w:val="0019671A"/>
    <w:rsid w:val="00196E37"/>
    <w:rsid w:val="00197ACD"/>
    <w:rsid w:val="00197D83"/>
    <w:rsid w:val="00197D9B"/>
    <w:rsid w:val="001A208F"/>
    <w:rsid w:val="001A2698"/>
    <w:rsid w:val="001A2801"/>
    <w:rsid w:val="001A423E"/>
    <w:rsid w:val="001A642D"/>
    <w:rsid w:val="001A7B47"/>
    <w:rsid w:val="001B0B9D"/>
    <w:rsid w:val="001B1618"/>
    <w:rsid w:val="001B1A7B"/>
    <w:rsid w:val="001B1FA6"/>
    <w:rsid w:val="001B5737"/>
    <w:rsid w:val="001B6368"/>
    <w:rsid w:val="001B72B3"/>
    <w:rsid w:val="001C0134"/>
    <w:rsid w:val="001C06DA"/>
    <w:rsid w:val="001C263A"/>
    <w:rsid w:val="001C2ECD"/>
    <w:rsid w:val="001C3CFF"/>
    <w:rsid w:val="001C5E1B"/>
    <w:rsid w:val="001C7790"/>
    <w:rsid w:val="001C7DB6"/>
    <w:rsid w:val="001D0A58"/>
    <w:rsid w:val="001D135B"/>
    <w:rsid w:val="001D1548"/>
    <w:rsid w:val="001D23C5"/>
    <w:rsid w:val="001D3CD0"/>
    <w:rsid w:val="001D4324"/>
    <w:rsid w:val="001D4D1C"/>
    <w:rsid w:val="001D7685"/>
    <w:rsid w:val="001E13AB"/>
    <w:rsid w:val="001E2856"/>
    <w:rsid w:val="001E2E84"/>
    <w:rsid w:val="001E3036"/>
    <w:rsid w:val="001E3245"/>
    <w:rsid w:val="001E6C56"/>
    <w:rsid w:val="001E6FCE"/>
    <w:rsid w:val="001E733F"/>
    <w:rsid w:val="001F007B"/>
    <w:rsid w:val="001F3282"/>
    <w:rsid w:val="001F38E9"/>
    <w:rsid w:val="001F627C"/>
    <w:rsid w:val="001F65B3"/>
    <w:rsid w:val="00201160"/>
    <w:rsid w:val="002015B9"/>
    <w:rsid w:val="00203FE9"/>
    <w:rsid w:val="0020407F"/>
    <w:rsid w:val="00204655"/>
    <w:rsid w:val="002051BA"/>
    <w:rsid w:val="0020579F"/>
    <w:rsid w:val="00205AED"/>
    <w:rsid w:val="00206E7C"/>
    <w:rsid w:val="00207F4B"/>
    <w:rsid w:val="002104B4"/>
    <w:rsid w:val="00210FA7"/>
    <w:rsid w:val="002115DB"/>
    <w:rsid w:val="002118AF"/>
    <w:rsid w:val="002121CD"/>
    <w:rsid w:val="002125E4"/>
    <w:rsid w:val="002138C3"/>
    <w:rsid w:val="00216B51"/>
    <w:rsid w:val="00216DA6"/>
    <w:rsid w:val="00220C8D"/>
    <w:rsid w:val="002214EB"/>
    <w:rsid w:val="00225AAF"/>
    <w:rsid w:val="00227CC0"/>
    <w:rsid w:val="002308F9"/>
    <w:rsid w:val="00230B39"/>
    <w:rsid w:val="00231350"/>
    <w:rsid w:val="002326FA"/>
    <w:rsid w:val="00234F04"/>
    <w:rsid w:val="002357A0"/>
    <w:rsid w:val="00235D78"/>
    <w:rsid w:val="0023604D"/>
    <w:rsid w:val="0023638D"/>
    <w:rsid w:val="002425FE"/>
    <w:rsid w:val="002435FC"/>
    <w:rsid w:val="00244D19"/>
    <w:rsid w:val="00245CB5"/>
    <w:rsid w:val="00250766"/>
    <w:rsid w:val="00251F70"/>
    <w:rsid w:val="002524BC"/>
    <w:rsid w:val="0025305A"/>
    <w:rsid w:val="00253D21"/>
    <w:rsid w:val="00260119"/>
    <w:rsid w:val="00261431"/>
    <w:rsid w:val="00261F75"/>
    <w:rsid w:val="0026225E"/>
    <w:rsid w:val="002622E0"/>
    <w:rsid w:val="0026521B"/>
    <w:rsid w:val="002663F1"/>
    <w:rsid w:val="00266D31"/>
    <w:rsid w:val="00267829"/>
    <w:rsid w:val="00271D68"/>
    <w:rsid w:val="00271F40"/>
    <w:rsid w:val="002733CE"/>
    <w:rsid w:val="00275240"/>
    <w:rsid w:val="00276F62"/>
    <w:rsid w:val="0028128D"/>
    <w:rsid w:val="002824D4"/>
    <w:rsid w:val="002828BC"/>
    <w:rsid w:val="00282901"/>
    <w:rsid w:val="00286D4D"/>
    <w:rsid w:val="00286FEA"/>
    <w:rsid w:val="00287B32"/>
    <w:rsid w:val="00287E57"/>
    <w:rsid w:val="00291429"/>
    <w:rsid w:val="00291703"/>
    <w:rsid w:val="00291D29"/>
    <w:rsid w:val="002940DC"/>
    <w:rsid w:val="00294963"/>
    <w:rsid w:val="00296AA2"/>
    <w:rsid w:val="00297FF8"/>
    <w:rsid w:val="002A1902"/>
    <w:rsid w:val="002A1D91"/>
    <w:rsid w:val="002A20EE"/>
    <w:rsid w:val="002A3550"/>
    <w:rsid w:val="002A3B3F"/>
    <w:rsid w:val="002A57D8"/>
    <w:rsid w:val="002A60B6"/>
    <w:rsid w:val="002A6BBF"/>
    <w:rsid w:val="002A6F49"/>
    <w:rsid w:val="002A762E"/>
    <w:rsid w:val="002A7C79"/>
    <w:rsid w:val="002A7D8A"/>
    <w:rsid w:val="002B0124"/>
    <w:rsid w:val="002B01F4"/>
    <w:rsid w:val="002B060F"/>
    <w:rsid w:val="002B210A"/>
    <w:rsid w:val="002B3FEB"/>
    <w:rsid w:val="002B59E2"/>
    <w:rsid w:val="002B5CA2"/>
    <w:rsid w:val="002B5D03"/>
    <w:rsid w:val="002B6E51"/>
    <w:rsid w:val="002C1B57"/>
    <w:rsid w:val="002C25C4"/>
    <w:rsid w:val="002C2AED"/>
    <w:rsid w:val="002C2FFE"/>
    <w:rsid w:val="002C3CFD"/>
    <w:rsid w:val="002C425D"/>
    <w:rsid w:val="002C5896"/>
    <w:rsid w:val="002C7E79"/>
    <w:rsid w:val="002D004C"/>
    <w:rsid w:val="002D0391"/>
    <w:rsid w:val="002D1100"/>
    <w:rsid w:val="002D225A"/>
    <w:rsid w:val="002D2E90"/>
    <w:rsid w:val="002D31AC"/>
    <w:rsid w:val="002D37DA"/>
    <w:rsid w:val="002D3CED"/>
    <w:rsid w:val="002D3D66"/>
    <w:rsid w:val="002D40CF"/>
    <w:rsid w:val="002D4851"/>
    <w:rsid w:val="002D76DA"/>
    <w:rsid w:val="002E1F78"/>
    <w:rsid w:val="002E2DCC"/>
    <w:rsid w:val="002E3318"/>
    <w:rsid w:val="002E36D2"/>
    <w:rsid w:val="002E4FC6"/>
    <w:rsid w:val="002E6488"/>
    <w:rsid w:val="002E7BCE"/>
    <w:rsid w:val="002F16DF"/>
    <w:rsid w:val="002F1E14"/>
    <w:rsid w:val="002F27D4"/>
    <w:rsid w:val="002F3C60"/>
    <w:rsid w:val="002F4F4C"/>
    <w:rsid w:val="002F548E"/>
    <w:rsid w:val="002F7A4F"/>
    <w:rsid w:val="003004DF"/>
    <w:rsid w:val="00301006"/>
    <w:rsid w:val="00302109"/>
    <w:rsid w:val="00302A80"/>
    <w:rsid w:val="00303342"/>
    <w:rsid w:val="00304612"/>
    <w:rsid w:val="00304F47"/>
    <w:rsid w:val="00305016"/>
    <w:rsid w:val="00305CDF"/>
    <w:rsid w:val="00306E55"/>
    <w:rsid w:val="00307304"/>
    <w:rsid w:val="0030798A"/>
    <w:rsid w:val="00307B18"/>
    <w:rsid w:val="00310E8B"/>
    <w:rsid w:val="00311B43"/>
    <w:rsid w:val="00311EB5"/>
    <w:rsid w:val="003144A8"/>
    <w:rsid w:val="0031480D"/>
    <w:rsid w:val="0031536C"/>
    <w:rsid w:val="00322219"/>
    <w:rsid w:val="0032391B"/>
    <w:rsid w:val="00324934"/>
    <w:rsid w:val="00326CBA"/>
    <w:rsid w:val="00326F4C"/>
    <w:rsid w:val="003318B9"/>
    <w:rsid w:val="00331C44"/>
    <w:rsid w:val="00334BED"/>
    <w:rsid w:val="00335905"/>
    <w:rsid w:val="00335E75"/>
    <w:rsid w:val="00340582"/>
    <w:rsid w:val="00340A3F"/>
    <w:rsid w:val="0034128E"/>
    <w:rsid w:val="003422BA"/>
    <w:rsid w:val="0034417E"/>
    <w:rsid w:val="003446E0"/>
    <w:rsid w:val="003457C0"/>
    <w:rsid w:val="00346B90"/>
    <w:rsid w:val="00347160"/>
    <w:rsid w:val="00350D3F"/>
    <w:rsid w:val="00353A2E"/>
    <w:rsid w:val="003570E6"/>
    <w:rsid w:val="0036027E"/>
    <w:rsid w:val="003602DB"/>
    <w:rsid w:val="00360E54"/>
    <w:rsid w:val="003617A5"/>
    <w:rsid w:val="003625AA"/>
    <w:rsid w:val="003641B2"/>
    <w:rsid w:val="00365969"/>
    <w:rsid w:val="00365B8D"/>
    <w:rsid w:val="00365C1B"/>
    <w:rsid w:val="00365D3E"/>
    <w:rsid w:val="00365D3F"/>
    <w:rsid w:val="00366D00"/>
    <w:rsid w:val="0037018B"/>
    <w:rsid w:val="00370C12"/>
    <w:rsid w:val="00370F54"/>
    <w:rsid w:val="003711D9"/>
    <w:rsid w:val="00372024"/>
    <w:rsid w:val="00374601"/>
    <w:rsid w:val="00374909"/>
    <w:rsid w:val="00375EEC"/>
    <w:rsid w:val="003817A0"/>
    <w:rsid w:val="003840D1"/>
    <w:rsid w:val="003845B2"/>
    <w:rsid w:val="00385EB7"/>
    <w:rsid w:val="00391719"/>
    <w:rsid w:val="00391B5E"/>
    <w:rsid w:val="00392028"/>
    <w:rsid w:val="00392857"/>
    <w:rsid w:val="00393005"/>
    <w:rsid w:val="003957CB"/>
    <w:rsid w:val="003A187C"/>
    <w:rsid w:val="003A1BB5"/>
    <w:rsid w:val="003A2E92"/>
    <w:rsid w:val="003A5A56"/>
    <w:rsid w:val="003A5D13"/>
    <w:rsid w:val="003A619B"/>
    <w:rsid w:val="003A6794"/>
    <w:rsid w:val="003B057F"/>
    <w:rsid w:val="003B0C22"/>
    <w:rsid w:val="003B1741"/>
    <w:rsid w:val="003B282D"/>
    <w:rsid w:val="003B2987"/>
    <w:rsid w:val="003B336F"/>
    <w:rsid w:val="003B485B"/>
    <w:rsid w:val="003B4F7E"/>
    <w:rsid w:val="003B5F2D"/>
    <w:rsid w:val="003B685F"/>
    <w:rsid w:val="003C0492"/>
    <w:rsid w:val="003C08C0"/>
    <w:rsid w:val="003C0918"/>
    <w:rsid w:val="003C6F33"/>
    <w:rsid w:val="003C789E"/>
    <w:rsid w:val="003C7D53"/>
    <w:rsid w:val="003D0B03"/>
    <w:rsid w:val="003D3100"/>
    <w:rsid w:val="003D323B"/>
    <w:rsid w:val="003D3B98"/>
    <w:rsid w:val="003D45C0"/>
    <w:rsid w:val="003D68E3"/>
    <w:rsid w:val="003D7DDC"/>
    <w:rsid w:val="003E0BB6"/>
    <w:rsid w:val="003E3F3C"/>
    <w:rsid w:val="003E46F5"/>
    <w:rsid w:val="003E538D"/>
    <w:rsid w:val="003E6270"/>
    <w:rsid w:val="003E64DF"/>
    <w:rsid w:val="003F1CA6"/>
    <w:rsid w:val="003F32D3"/>
    <w:rsid w:val="003F38E9"/>
    <w:rsid w:val="003F67F4"/>
    <w:rsid w:val="003F6F34"/>
    <w:rsid w:val="003F7B07"/>
    <w:rsid w:val="00402B9A"/>
    <w:rsid w:val="00403457"/>
    <w:rsid w:val="004034BF"/>
    <w:rsid w:val="004037D7"/>
    <w:rsid w:val="00404291"/>
    <w:rsid w:val="00405B1A"/>
    <w:rsid w:val="0040671D"/>
    <w:rsid w:val="00406BAB"/>
    <w:rsid w:val="00406C90"/>
    <w:rsid w:val="00407653"/>
    <w:rsid w:val="00407761"/>
    <w:rsid w:val="004079D8"/>
    <w:rsid w:val="00407C20"/>
    <w:rsid w:val="00410A41"/>
    <w:rsid w:val="00412F33"/>
    <w:rsid w:val="004139AE"/>
    <w:rsid w:val="0041454F"/>
    <w:rsid w:val="00415BB7"/>
    <w:rsid w:val="004164D1"/>
    <w:rsid w:val="004202FE"/>
    <w:rsid w:val="00420859"/>
    <w:rsid w:val="00421575"/>
    <w:rsid w:val="00422D1F"/>
    <w:rsid w:val="0042513F"/>
    <w:rsid w:val="0043078A"/>
    <w:rsid w:val="00431204"/>
    <w:rsid w:val="00433535"/>
    <w:rsid w:val="00434FB2"/>
    <w:rsid w:val="00435430"/>
    <w:rsid w:val="0043603C"/>
    <w:rsid w:val="0043655D"/>
    <w:rsid w:val="00437892"/>
    <w:rsid w:val="00443369"/>
    <w:rsid w:val="004436B8"/>
    <w:rsid w:val="004445BC"/>
    <w:rsid w:val="00446348"/>
    <w:rsid w:val="004464BF"/>
    <w:rsid w:val="004467A5"/>
    <w:rsid w:val="004469DC"/>
    <w:rsid w:val="00447B0F"/>
    <w:rsid w:val="0045087F"/>
    <w:rsid w:val="00451018"/>
    <w:rsid w:val="004516EE"/>
    <w:rsid w:val="00451ECA"/>
    <w:rsid w:val="00452662"/>
    <w:rsid w:val="00453993"/>
    <w:rsid w:val="00453F78"/>
    <w:rsid w:val="0045431A"/>
    <w:rsid w:val="00455BC9"/>
    <w:rsid w:val="00457A54"/>
    <w:rsid w:val="00457BDF"/>
    <w:rsid w:val="00457EDD"/>
    <w:rsid w:val="00460970"/>
    <w:rsid w:val="004614B4"/>
    <w:rsid w:val="0046228D"/>
    <w:rsid w:val="00463416"/>
    <w:rsid w:val="004667A7"/>
    <w:rsid w:val="00467BEF"/>
    <w:rsid w:val="0047101B"/>
    <w:rsid w:val="00471A32"/>
    <w:rsid w:val="00471C60"/>
    <w:rsid w:val="00472315"/>
    <w:rsid w:val="00474D14"/>
    <w:rsid w:val="0047519D"/>
    <w:rsid w:val="00476BA7"/>
    <w:rsid w:val="00480F47"/>
    <w:rsid w:val="00481432"/>
    <w:rsid w:val="00482518"/>
    <w:rsid w:val="00482B95"/>
    <w:rsid w:val="00482C45"/>
    <w:rsid w:val="00483540"/>
    <w:rsid w:val="00484EF0"/>
    <w:rsid w:val="004850CB"/>
    <w:rsid w:val="00485456"/>
    <w:rsid w:val="00486931"/>
    <w:rsid w:val="0049278B"/>
    <w:rsid w:val="00492CB8"/>
    <w:rsid w:val="004933CF"/>
    <w:rsid w:val="004968FB"/>
    <w:rsid w:val="00497D00"/>
    <w:rsid w:val="004A467F"/>
    <w:rsid w:val="004A60D1"/>
    <w:rsid w:val="004A7A24"/>
    <w:rsid w:val="004B1949"/>
    <w:rsid w:val="004B1E21"/>
    <w:rsid w:val="004B1E25"/>
    <w:rsid w:val="004B2A70"/>
    <w:rsid w:val="004B3D2A"/>
    <w:rsid w:val="004B63C3"/>
    <w:rsid w:val="004B75B1"/>
    <w:rsid w:val="004C1BE3"/>
    <w:rsid w:val="004C3C3A"/>
    <w:rsid w:val="004C66AB"/>
    <w:rsid w:val="004C7DD9"/>
    <w:rsid w:val="004D164F"/>
    <w:rsid w:val="004D2886"/>
    <w:rsid w:val="004D3208"/>
    <w:rsid w:val="004D6C3C"/>
    <w:rsid w:val="004D77CD"/>
    <w:rsid w:val="004D7859"/>
    <w:rsid w:val="004E0402"/>
    <w:rsid w:val="004E0C26"/>
    <w:rsid w:val="004E1C9D"/>
    <w:rsid w:val="004E20E4"/>
    <w:rsid w:val="004E2477"/>
    <w:rsid w:val="004E2560"/>
    <w:rsid w:val="004E6EF0"/>
    <w:rsid w:val="004F115B"/>
    <w:rsid w:val="004F2446"/>
    <w:rsid w:val="004F2C26"/>
    <w:rsid w:val="004F4E47"/>
    <w:rsid w:val="004F5621"/>
    <w:rsid w:val="004F5E49"/>
    <w:rsid w:val="004F6C01"/>
    <w:rsid w:val="004F792C"/>
    <w:rsid w:val="004F79DC"/>
    <w:rsid w:val="004F7A1F"/>
    <w:rsid w:val="004F7B2A"/>
    <w:rsid w:val="004F7B7A"/>
    <w:rsid w:val="005019F7"/>
    <w:rsid w:val="00503DD1"/>
    <w:rsid w:val="00504337"/>
    <w:rsid w:val="00504707"/>
    <w:rsid w:val="005051AA"/>
    <w:rsid w:val="00505F81"/>
    <w:rsid w:val="00506AC1"/>
    <w:rsid w:val="00510ABA"/>
    <w:rsid w:val="00510AF4"/>
    <w:rsid w:val="00511879"/>
    <w:rsid w:val="00511D4A"/>
    <w:rsid w:val="00512F3E"/>
    <w:rsid w:val="00514902"/>
    <w:rsid w:val="0051518A"/>
    <w:rsid w:val="00517D72"/>
    <w:rsid w:val="00520090"/>
    <w:rsid w:val="00521574"/>
    <w:rsid w:val="005224EB"/>
    <w:rsid w:val="0052297F"/>
    <w:rsid w:val="00522D68"/>
    <w:rsid w:val="00523FBA"/>
    <w:rsid w:val="005245AF"/>
    <w:rsid w:val="005261BA"/>
    <w:rsid w:val="00526B53"/>
    <w:rsid w:val="00526ED3"/>
    <w:rsid w:val="00527625"/>
    <w:rsid w:val="0053031D"/>
    <w:rsid w:val="005308A6"/>
    <w:rsid w:val="00530B2F"/>
    <w:rsid w:val="0053224F"/>
    <w:rsid w:val="0053287A"/>
    <w:rsid w:val="00532CE6"/>
    <w:rsid w:val="00532ED5"/>
    <w:rsid w:val="0053337C"/>
    <w:rsid w:val="0053481D"/>
    <w:rsid w:val="00536655"/>
    <w:rsid w:val="005368A0"/>
    <w:rsid w:val="00537E86"/>
    <w:rsid w:val="005406EB"/>
    <w:rsid w:val="005407EB"/>
    <w:rsid w:val="00542705"/>
    <w:rsid w:val="00542EBC"/>
    <w:rsid w:val="00542F1E"/>
    <w:rsid w:val="00546B70"/>
    <w:rsid w:val="0054786E"/>
    <w:rsid w:val="00547D71"/>
    <w:rsid w:val="00550B4B"/>
    <w:rsid w:val="005513E1"/>
    <w:rsid w:val="0055148A"/>
    <w:rsid w:val="005524C2"/>
    <w:rsid w:val="0055448A"/>
    <w:rsid w:val="00554FE5"/>
    <w:rsid w:val="00555065"/>
    <w:rsid w:val="00555B85"/>
    <w:rsid w:val="005578AA"/>
    <w:rsid w:val="0055795E"/>
    <w:rsid w:val="00560C81"/>
    <w:rsid w:val="005612E9"/>
    <w:rsid w:val="00561D9A"/>
    <w:rsid w:val="00563BD3"/>
    <w:rsid w:val="00563FD5"/>
    <w:rsid w:val="00564C39"/>
    <w:rsid w:val="00567A28"/>
    <w:rsid w:val="00570018"/>
    <w:rsid w:val="0057097C"/>
    <w:rsid w:val="00572914"/>
    <w:rsid w:val="005729BF"/>
    <w:rsid w:val="00572F21"/>
    <w:rsid w:val="00573703"/>
    <w:rsid w:val="00575668"/>
    <w:rsid w:val="00576984"/>
    <w:rsid w:val="00576DBF"/>
    <w:rsid w:val="00577C96"/>
    <w:rsid w:val="00580AF5"/>
    <w:rsid w:val="00580EB4"/>
    <w:rsid w:val="005822BC"/>
    <w:rsid w:val="00582546"/>
    <w:rsid w:val="00582730"/>
    <w:rsid w:val="00582EC4"/>
    <w:rsid w:val="00582EDB"/>
    <w:rsid w:val="005831DC"/>
    <w:rsid w:val="00583CD6"/>
    <w:rsid w:val="005841C0"/>
    <w:rsid w:val="00584575"/>
    <w:rsid w:val="005848C7"/>
    <w:rsid w:val="0058527B"/>
    <w:rsid w:val="00586CF9"/>
    <w:rsid w:val="0058791E"/>
    <w:rsid w:val="00587BF1"/>
    <w:rsid w:val="00591106"/>
    <w:rsid w:val="0059230F"/>
    <w:rsid w:val="00592629"/>
    <w:rsid w:val="0059473E"/>
    <w:rsid w:val="00595BBD"/>
    <w:rsid w:val="00596FB6"/>
    <w:rsid w:val="005A1FE1"/>
    <w:rsid w:val="005A2114"/>
    <w:rsid w:val="005A24C6"/>
    <w:rsid w:val="005A2D5B"/>
    <w:rsid w:val="005A2F7F"/>
    <w:rsid w:val="005A36C1"/>
    <w:rsid w:val="005A3EBA"/>
    <w:rsid w:val="005A5D59"/>
    <w:rsid w:val="005A627B"/>
    <w:rsid w:val="005B0017"/>
    <w:rsid w:val="005B086E"/>
    <w:rsid w:val="005B106C"/>
    <w:rsid w:val="005B33A4"/>
    <w:rsid w:val="005B4528"/>
    <w:rsid w:val="005B54D9"/>
    <w:rsid w:val="005B6578"/>
    <w:rsid w:val="005B675D"/>
    <w:rsid w:val="005B67EE"/>
    <w:rsid w:val="005B6E0D"/>
    <w:rsid w:val="005B7185"/>
    <w:rsid w:val="005B78F1"/>
    <w:rsid w:val="005C0AFA"/>
    <w:rsid w:val="005C2692"/>
    <w:rsid w:val="005C31BE"/>
    <w:rsid w:val="005C3A3A"/>
    <w:rsid w:val="005C53FD"/>
    <w:rsid w:val="005D0128"/>
    <w:rsid w:val="005D149F"/>
    <w:rsid w:val="005D18E7"/>
    <w:rsid w:val="005D6CBA"/>
    <w:rsid w:val="005D70D6"/>
    <w:rsid w:val="005E0887"/>
    <w:rsid w:val="005E2191"/>
    <w:rsid w:val="005E2883"/>
    <w:rsid w:val="005E7EBC"/>
    <w:rsid w:val="005F0617"/>
    <w:rsid w:val="005F0C1C"/>
    <w:rsid w:val="005F10B0"/>
    <w:rsid w:val="005F24E1"/>
    <w:rsid w:val="005F2A0F"/>
    <w:rsid w:val="005F31A2"/>
    <w:rsid w:val="005F557F"/>
    <w:rsid w:val="005F6798"/>
    <w:rsid w:val="005F68A1"/>
    <w:rsid w:val="005F6B08"/>
    <w:rsid w:val="005F7101"/>
    <w:rsid w:val="005F7D92"/>
    <w:rsid w:val="0060175C"/>
    <w:rsid w:val="006024DE"/>
    <w:rsid w:val="00602608"/>
    <w:rsid w:val="006033E5"/>
    <w:rsid w:val="006049BB"/>
    <w:rsid w:val="006051A2"/>
    <w:rsid w:val="00605AAB"/>
    <w:rsid w:val="0060663D"/>
    <w:rsid w:val="00607377"/>
    <w:rsid w:val="006104B4"/>
    <w:rsid w:val="00612E0E"/>
    <w:rsid w:val="006131FC"/>
    <w:rsid w:val="006134C7"/>
    <w:rsid w:val="0061373B"/>
    <w:rsid w:val="006145A4"/>
    <w:rsid w:val="00617595"/>
    <w:rsid w:val="00620F98"/>
    <w:rsid w:val="0062272F"/>
    <w:rsid w:val="006229D1"/>
    <w:rsid w:val="006262C8"/>
    <w:rsid w:val="00630D63"/>
    <w:rsid w:val="006315BE"/>
    <w:rsid w:val="00632384"/>
    <w:rsid w:val="00633093"/>
    <w:rsid w:val="00635253"/>
    <w:rsid w:val="0063566F"/>
    <w:rsid w:val="00635D8D"/>
    <w:rsid w:val="00640B79"/>
    <w:rsid w:val="00641B2F"/>
    <w:rsid w:val="00643C60"/>
    <w:rsid w:val="0064460E"/>
    <w:rsid w:val="00645566"/>
    <w:rsid w:val="0064657A"/>
    <w:rsid w:val="006475C8"/>
    <w:rsid w:val="00647B40"/>
    <w:rsid w:val="006509A0"/>
    <w:rsid w:val="00650A6D"/>
    <w:rsid w:val="00650FDC"/>
    <w:rsid w:val="006519E7"/>
    <w:rsid w:val="00651C8B"/>
    <w:rsid w:val="00651D4B"/>
    <w:rsid w:val="006522BD"/>
    <w:rsid w:val="006528A4"/>
    <w:rsid w:val="006547D6"/>
    <w:rsid w:val="00656791"/>
    <w:rsid w:val="006602F7"/>
    <w:rsid w:val="0066103D"/>
    <w:rsid w:val="006615D1"/>
    <w:rsid w:val="006616D1"/>
    <w:rsid w:val="00662396"/>
    <w:rsid w:val="00662C44"/>
    <w:rsid w:val="00662C84"/>
    <w:rsid w:val="006643A9"/>
    <w:rsid w:val="006643AC"/>
    <w:rsid w:val="0066505B"/>
    <w:rsid w:val="00666622"/>
    <w:rsid w:val="006714D8"/>
    <w:rsid w:val="006719A6"/>
    <w:rsid w:val="006726CA"/>
    <w:rsid w:val="00672F1A"/>
    <w:rsid w:val="006730C6"/>
    <w:rsid w:val="006754C5"/>
    <w:rsid w:val="0067763C"/>
    <w:rsid w:val="006800A9"/>
    <w:rsid w:val="006805E7"/>
    <w:rsid w:val="00681D5E"/>
    <w:rsid w:val="00682C39"/>
    <w:rsid w:val="00683058"/>
    <w:rsid w:val="00684DBA"/>
    <w:rsid w:val="0068583C"/>
    <w:rsid w:val="0069143F"/>
    <w:rsid w:val="006917F5"/>
    <w:rsid w:val="00693362"/>
    <w:rsid w:val="0069413A"/>
    <w:rsid w:val="0069593E"/>
    <w:rsid w:val="00695E23"/>
    <w:rsid w:val="00697356"/>
    <w:rsid w:val="00697470"/>
    <w:rsid w:val="006A2A00"/>
    <w:rsid w:val="006A2FA9"/>
    <w:rsid w:val="006A3653"/>
    <w:rsid w:val="006A3DAC"/>
    <w:rsid w:val="006A4595"/>
    <w:rsid w:val="006A48CF"/>
    <w:rsid w:val="006B103E"/>
    <w:rsid w:val="006B29A4"/>
    <w:rsid w:val="006B3DA2"/>
    <w:rsid w:val="006B48DC"/>
    <w:rsid w:val="006B570D"/>
    <w:rsid w:val="006B596A"/>
    <w:rsid w:val="006B5DF3"/>
    <w:rsid w:val="006B61BF"/>
    <w:rsid w:val="006B682B"/>
    <w:rsid w:val="006B723C"/>
    <w:rsid w:val="006C1FAA"/>
    <w:rsid w:val="006C32E1"/>
    <w:rsid w:val="006C491B"/>
    <w:rsid w:val="006C6981"/>
    <w:rsid w:val="006C7224"/>
    <w:rsid w:val="006D0925"/>
    <w:rsid w:val="006D17FF"/>
    <w:rsid w:val="006D337B"/>
    <w:rsid w:val="006D3745"/>
    <w:rsid w:val="006D3771"/>
    <w:rsid w:val="006D5A26"/>
    <w:rsid w:val="006D7885"/>
    <w:rsid w:val="006D7A75"/>
    <w:rsid w:val="006E07E7"/>
    <w:rsid w:val="006E0FB3"/>
    <w:rsid w:val="006E18B4"/>
    <w:rsid w:val="006E2F5B"/>
    <w:rsid w:val="006E3AD3"/>
    <w:rsid w:val="006E57BD"/>
    <w:rsid w:val="006E60EA"/>
    <w:rsid w:val="006E6670"/>
    <w:rsid w:val="006F0EFF"/>
    <w:rsid w:val="006F1685"/>
    <w:rsid w:val="006F1BFC"/>
    <w:rsid w:val="006F2038"/>
    <w:rsid w:val="006F32B5"/>
    <w:rsid w:val="006F33F9"/>
    <w:rsid w:val="006F3551"/>
    <w:rsid w:val="006F3592"/>
    <w:rsid w:val="006F35C3"/>
    <w:rsid w:val="006F4CB0"/>
    <w:rsid w:val="006F4ECD"/>
    <w:rsid w:val="006F4F20"/>
    <w:rsid w:val="006F546F"/>
    <w:rsid w:val="006F61AF"/>
    <w:rsid w:val="006F633D"/>
    <w:rsid w:val="006F65FC"/>
    <w:rsid w:val="006F6A8F"/>
    <w:rsid w:val="00700390"/>
    <w:rsid w:val="00703289"/>
    <w:rsid w:val="00703566"/>
    <w:rsid w:val="00705140"/>
    <w:rsid w:val="00705D7D"/>
    <w:rsid w:val="00705F93"/>
    <w:rsid w:val="00707CA6"/>
    <w:rsid w:val="00707F23"/>
    <w:rsid w:val="007106E5"/>
    <w:rsid w:val="00710B46"/>
    <w:rsid w:val="00711DBD"/>
    <w:rsid w:val="0071237A"/>
    <w:rsid w:val="00712488"/>
    <w:rsid w:val="007124FC"/>
    <w:rsid w:val="00712D5E"/>
    <w:rsid w:val="00715F2C"/>
    <w:rsid w:val="007171DC"/>
    <w:rsid w:val="007172F1"/>
    <w:rsid w:val="007202BA"/>
    <w:rsid w:val="00721235"/>
    <w:rsid w:val="00721CFC"/>
    <w:rsid w:val="00721FA9"/>
    <w:rsid w:val="007229F3"/>
    <w:rsid w:val="007231B3"/>
    <w:rsid w:val="00723745"/>
    <w:rsid w:val="00724C7A"/>
    <w:rsid w:val="00725ECC"/>
    <w:rsid w:val="00730863"/>
    <w:rsid w:val="0073255E"/>
    <w:rsid w:val="00732BB7"/>
    <w:rsid w:val="00734053"/>
    <w:rsid w:val="0073421E"/>
    <w:rsid w:val="00735876"/>
    <w:rsid w:val="00735AF7"/>
    <w:rsid w:val="00736A65"/>
    <w:rsid w:val="00737143"/>
    <w:rsid w:val="00737E32"/>
    <w:rsid w:val="007420CD"/>
    <w:rsid w:val="00743481"/>
    <w:rsid w:val="007443AD"/>
    <w:rsid w:val="00744D62"/>
    <w:rsid w:val="007453AA"/>
    <w:rsid w:val="007456A5"/>
    <w:rsid w:val="007458E4"/>
    <w:rsid w:val="00746504"/>
    <w:rsid w:val="00747075"/>
    <w:rsid w:val="00747775"/>
    <w:rsid w:val="00747FF6"/>
    <w:rsid w:val="0075033F"/>
    <w:rsid w:val="00750915"/>
    <w:rsid w:val="00753179"/>
    <w:rsid w:val="00754BB1"/>
    <w:rsid w:val="00754EB9"/>
    <w:rsid w:val="007551FC"/>
    <w:rsid w:val="0075535D"/>
    <w:rsid w:val="00756DBE"/>
    <w:rsid w:val="00756F84"/>
    <w:rsid w:val="007577F7"/>
    <w:rsid w:val="00757859"/>
    <w:rsid w:val="00757B1B"/>
    <w:rsid w:val="00757BCF"/>
    <w:rsid w:val="0076226A"/>
    <w:rsid w:val="00762D57"/>
    <w:rsid w:val="00763126"/>
    <w:rsid w:val="00763F63"/>
    <w:rsid w:val="00764006"/>
    <w:rsid w:val="0076494A"/>
    <w:rsid w:val="0076541A"/>
    <w:rsid w:val="007662D8"/>
    <w:rsid w:val="00766993"/>
    <w:rsid w:val="007722C6"/>
    <w:rsid w:val="007727A2"/>
    <w:rsid w:val="00773029"/>
    <w:rsid w:val="0077531E"/>
    <w:rsid w:val="00776A44"/>
    <w:rsid w:val="00777123"/>
    <w:rsid w:val="0077730E"/>
    <w:rsid w:val="007773FA"/>
    <w:rsid w:val="0077794A"/>
    <w:rsid w:val="00780041"/>
    <w:rsid w:val="00780080"/>
    <w:rsid w:val="00781444"/>
    <w:rsid w:val="007823DC"/>
    <w:rsid w:val="0078262D"/>
    <w:rsid w:val="0078526B"/>
    <w:rsid w:val="00785439"/>
    <w:rsid w:val="007856AE"/>
    <w:rsid w:val="00786F6D"/>
    <w:rsid w:val="007876E6"/>
    <w:rsid w:val="00787AED"/>
    <w:rsid w:val="00787B20"/>
    <w:rsid w:val="00787DE7"/>
    <w:rsid w:val="00787F18"/>
    <w:rsid w:val="00790952"/>
    <w:rsid w:val="007910DA"/>
    <w:rsid w:val="00792164"/>
    <w:rsid w:val="0079423D"/>
    <w:rsid w:val="00794BB0"/>
    <w:rsid w:val="007957ED"/>
    <w:rsid w:val="00795ED5"/>
    <w:rsid w:val="007A178C"/>
    <w:rsid w:val="007A25CB"/>
    <w:rsid w:val="007A467D"/>
    <w:rsid w:val="007A5194"/>
    <w:rsid w:val="007A54EC"/>
    <w:rsid w:val="007A6B7A"/>
    <w:rsid w:val="007A7609"/>
    <w:rsid w:val="007B261E"/>
    <w:rsid w:val="007B30F7"/>
    <w:rsid w:val="007B50E4"/>
    <w:rsid w:val="007B5390"/>
    <w:rsid w:val="007B67B0"/>
    <w:rsid w:val="007B748F"/>
    <w:rsid w:val="007B7A07"/>
    <w:rsid w:val="007C3E6A"/>
    <w:rsid w:val="007C4208"/>
    <w:rsid w:val="007C5CF6"/>
    <w:rsid w:val="007C6B00"/>
    <w:rsid w:val="007C7B9B"/>
    <w:rsid w:val="007C7BB8"/>
    <w:rsid w:val="007D4269"/>
    <w:rsid w:val="007D4DF9"/>
    <w:rsid w:val="007D7923"/>
    <w:rsid w:val="007D7CB0"/>
    <w:rsid w:val="007E0201"/>
    <w:rsid w:val="007E07D4"/>
    <w:rsid w:val="007E0B64"/>
    <w:rsid w:val="007E10DD"/>
    <w:rsid w:val="007E407E"/>
    <w:rsid w:val="007E445A"/>
    <w:rsid w:val="007E5034"/>
    <w:rsid w:val="007E5E5E"/>
    <w:rsid w:val="007F1140"/>
    <w:rsid w:val="007F2658"/>
    <w:rsid w:val="007F2D28"/>
    <w:rsid w:val="007F5A4D"/>
    <w:rsid w:val="007F5EAF"/>
    <w:rsid w:val="007F7262"/>
    <w:rsid w:val="00800DAB"/>
    <w:rsid w:val="00801D78"/>
    <w:rsid w:val="0080235F"/>
    <w:rsid w:val="00803623"/>
    <w:rsid w:val="00804D72"/>
    <w:rsid w:val="00805C8A"/>
    <w:rsid w:val="00806429"/>
    <w:rsid w:val="0080718D"/>
    <w:rsid w:val="00807B9C"/>
    <w:rsid w:val="00807F77"/>
    <w:rsid w:val="008103E2"/>
    <w:rsid w:val="00812157"/>
    <w:rsid w:val="00812A33"/>
    <w:rsid w:val="00813B36"/>
    <w:rsid w:val="008140C0"/>
    <w:rsid w:val="00815776"/>
    <w:rsid w:val="0081578B"/>
    <w:rsid w:val="00816232"/>
    <w:rsid w:val="00816DBD"/>
    <w:rsid w:val="00816E5D"/>
    <w:rsid w:val="008175E7"/>
    <w:rsid w:val="00820784"/>
    <w:rsid w:val="00822460"/>
    <w:rsid w:val="00822AEB"/>
    <w:rsid w:val="00822C1C"/>
    <w:rsid w:val="008264B5"/>
    <w:rsid w:val="00827E9A"/>
    <w:rsid w:val="008312E0"/>
    <w:rsid w:val="00831B4E"/>
    <w:rsid w:val="00834B74"/>
    <w:rsid w:val="00835BA4"/>
    <w:rsid w:val="00835C8A"/>
    <w:rsid w:val="0084007A"/>
    <w:rsid w:val="00840E86"/>
    <w:rsid w:val="008413BC"/>
    <w:rsid w:val="00844297"/>
    <w:rsid w:val="0084443D"/>
    <w:rsid w:val="008450D8"/>
    <w:rsid w:val="00845C62"/>
    <w:rsid w:val="00846BA5"/>
    <w:rsid w:val="008471D5"/>
    <w:rsid w:val="00847CDF"/>
    <w:rsid w:val="00847F4C"/>
    <w:rsid w:val="00847FDD"/>
    <w:rsid w:val="008500D7"/>
    <w:rsid w:val="00850621"/>
    <w:rsid w:val="00852700"/>
    <w:rsid w:val="00853750"/>
    <w:rsid w:val="00853FC4"/>
    <w:rsid w:val="008546FE"/>
    <w:rsid w:val="00854AED"/>
    <w:rsid w:val="00854BFA"/>
    <w:rsid w:val="00855605"/>
    <w:rsid w:val="0085591D"/>
    <w:rsid w:val="00857EA7"/>
    <w:rsid w:val="00865189"/>
    <w:rsid w:val="008653E2"/>
    <w:rsid w:val="0087469A"/>
    <w:rsid w:val="0087486E"/>
    <w:rsid w:val="00875067"/>
    <w:rsid w:val="00876899"/>
    <w:rsid w:val="00876E7F"/>
    <w:rsid w:val="0088019D"/>
    <w:rsid w:val="00880896"/>
    <w:rsid w:val="00880EA5"/>
    <w:rsid w:val="00882711"/>
    <w:rsid w:val="008857CA"/>
    <w:rsid w:val="008858CC"/>
    <w:rsid w:val="0088634A"/>
    <w:rsid w:val="008864C7"/>
    <w:rsid w:val="008866E1"/>
    <w:rsid w:val="00886D04"/>
    <w:rsid w:val="00890877"/>
    <w:rsid w:val="00890DB8"/>
    <w:rsid w:val="00892BE9"/>
    <w:rsid w:val="00892F58"/>
    <w:rsid w:val="00893D70"/>
    <w:rsid w:val="00893F7B"/>
    <w:rsid w:val="00894A84"/>
    <w:rsid w:val="0089610A"/>
    <w:rsid w:val="00897135"/>
    <w:rsid w:val="008A19A5"/>
    <w:rsid w:val="008A318A"/>
    <w:rsid w:val="008A48CB"/>
    <w:rsid w:val="008A51DA"/>
    <w:rsid w:val="008A5F9D"/>
    <w:rsid w:val="008B2940"/>
    <w:rsid w:val="008B4852"/>
    <w:rsid w:val="008B66AC"/>
    <w:rsid w:val="008B6F84"/>
    <w:rsid w:val="008C00F1"/>
    <w:rsid w:val="008C0A39"/>
    <w:rsid w:val="008C1ABF"/>
    <w:rsid w:val="008C5637"/>
    <w:rsid w:val="008C5850"/>
    <w:rsid w:val="008C6F59"/>
    <w:rsid w:val="008C70C3"/>
    <w:rsid w:val="008D2A32"/>
    <w:rsid w:val="008D339D"/>
    <w:rsid w:val="008D4836"/>
    <w:rsid w:val="008D4D46"/>
    <w:rsid w:val="008D6BA4"/>
    <w:rsid w:val="008E0E20"/>
    <w:rsid w:val="008E2711"/>
    <w:rsid w:val="008E47AA"/>
    <w:rsid w:val="008E58D3"/>
    <w:rsid w:val="008F2309"/>
    <w:rsid w:val="008F3EC2"/>
    <w:rsid w:val="008F5EF6"/>
    <w:rsid w:val="008F6F9B"/>
    <w:rsid w:val="008F7502"/>
    <w:rsid w:val="008F7E4D"/>
    <w:rsid w:val="008F7F39"/>
    <w:rsid w:val="0090122D"/>
    <w:rsid w:val="00901771"/>
    <w:rsid w:val="0090256F"/>
    <w:rsid w:val="009026BD"/>
    <w:rsid w:val="00902D9D"/>
    <w:rsid w:val="00903C3C"/>
    <w:rsid w:val="00904274"/>
    <w:rsid w:val="00904895"/>
    <w:rsid w:val="009048DA"/>
    <w:rsid w:val="00905E09"/>
    <w:rsid w:val="00907551"/>
    <w:rsid w:val="00910574"/>
    <w:rsid w:val="00911032"/>
    <w:rsid w:val="00913680"/>
    <w:rsid w:val="009139D3"/>
    <w:rsid w:val="009142CA"/>
    <w:rsid w:val="0091695B"/>
    <w:rsid w:val="00916CA1"/>
    <w:rsid w:val="00917D8F"/>
    <w:rsid w:val="00920178"/>
    <w:rsid w:val="0092104F"/>
    <w:rsid w:val="00922EAC"/>
    <w:rsid w:val="00923334"/>
    <w:rsid w:val="00925D70"/>
    <w:rsid w:val="00927861"/>
    <w:rsid w:val="00931978"/>
    <w:rsid w:val="00934CDC"/>
    <w:rsid w:val="009400CD"/>
    <w:rsid w:val="00942412"/>
    <w:rsid w:val="0094337B"/>
    <w:rsid w:val="00943547"/>
    <w:rsid w:val="00943E3B"/>
    <w:rsid w:val="00943EC2"/>
    <w:rsid w:val="00944465"/>
    <w:rsid w:val="00946433"/>
    <w:rsid w:val="009468BC"/>
    <w:rsid w:val="0095123C"/>
    <w:rsid w:val="009513BA"/>
    <w:rsid w:val="00951665"/>
    <w:rsid w:val="00952B40"/>
    <w:rsid w:val="009533FA"/>
    <w:rsid w:val="00953460"/>
    <w:rsid w:val="009552A3"/>
    <w:rsid w:val="009555BF"/>
    <w:rsid w:val="00961B72"/>
    <w:rsid w:val="00961C52"/>
    <w:rsid w:val="00961DFF"/>
    <w:rsid w:val="00962E66"/>
    <w:rsid w:val="00963F41"/>
    <w:rsid w:val="00963FE1"/>
    <w:rsid w:val="00966481"/>
    <w:rsid w:val="009708E3"/>
    <w:rsid w:val="009716A8"/>
    <w:rsid w:val="00971E0D"/>
    <w:rsid w:val="009730E4"/>
    <w:rsid w:val="00973914"/>
    <w:rsid w:val="00973EF7"/>
    <w:rsid w:val="00975610"/>
    <w:rsid w:val="00977014"/>
    <w:rsid w:val="00977365"/>
    <w:rsid w:val="00977FBD"/>
    <w:rsid w:val="009804EC"/>
    <w:rsid w:val="009805E6"/>
    <w:rsid w:val="0098101A"/>
    <w:rsid w:val="009810F3"/>
    <w:rsid w:val="00982FA5"/>
    <w:rsid w:val="00983E48"/>
    <w:rsid w:val="00985156"/>
    <w:rsid w:val="00986A29"/>
    <w:rsid w:val="009871C0"/>
    <w:rsid w:val="00990623"/>
    <w:rsid w:val="0099106B"/>
    <w:rsid w:val="00991BB4"/>
    <w:rsid w:val="00993306"/>
    <w:rsid w:val="00994B81"/>
    <w:rsid w:val="009955B0"/>
    <w:rsid w:val="0099665D"/>
    <w:rsid w:val="009967E5"/>
    <w:rsid w:val="009967FD"/>
    <w:rsid w:val="00996CA3"/>
    <w:rsid w:val="009971F0"/>
    <w:rsid w:val="00997622"/>
    <w:rsid w:val="009A0004"/>
    <w:rsid w:val="009A1586"/>
    <w:rsid w:val="009A23FA"/>
    <w:rsid w:val="009A2CF7"/>
    <w:rsid w:val="009A30BF"/>
    <w:rsid w:val="009A48F9"/>
    <w:rsid w:val="009A5BEB"/>
    <w:rsid w:val="009A70CD"/>
    <w:rsid w:val="009A7F90"/>
    <w:rsid w:val="009B071B"/>
    <w:rsid w:val="009B1F40"/>
    <w:rsid w:val="009B2045"/>
    <w:rsid w:val="009B349B"/>
    <w:rsid w:val="009B3AB2"/>
    <w:rsid w:val="009B54D6"/>
    <w:rsid w:val="009B54E7"/>
    <w:rsid w:val="009B7AFA"/>
    <w:rsid w:val="009C1A50"/>
    <w:rsid w:val="009C23E2"/>
    <w:rsid w:val="009C2B84"/>
    <w:rsid w:val="009C38B1"/>
    <w:rsid w:val="009C4019"/>
    <w:rsid w:val="009C45F4"/>
    <w:rsid w:val="009C4B5D"/>
    <w:rsid w:val="009C52EA"/>
    <w:rsid w:val="009C590A"/>
    <w:rsid w:val="009C705E"/>
    <w:rsid w:val="009C7AB2"/>
    <w:rsid w:val="009D024D"/>
    <w:rsid w:val="009D050D"/>
    <w:rsid w:val="009D29B2"/>
    <w:rsid w:val="009D3383"/>
    <w:rsid w:val="009D6BB2"/>
    <w:rsid w:val="009D76B3"/>
    <w:rsid w:val="009D7D98"/>
    <w:rsid w:val="009E0966"/>
    <w:rsid w:val="009E3990"/>
    <w:rsid w:val="009E39D2"/>
    <w:rsid w:val="009E4373"/>
    <w:rsid w:val="009E4F7D"/>
    <w:rsid w:val="009E7119"/>
    <w:rsid w:val="009E7B11"/>
    <w:rsid w:val="009F00E5"/>
    <w:rsid w:val="009F1B89"/>
    <w:rsid w:val="009F2782"/>
    <w:rsid w:val="009F7AE1"/>
    <w:rsid w:val="00A022DE"/>
    <w:rsid w:val="00A023AA"/>
    <w:rsid w:val="00A03D96"/>
    <w:rsid w:val="00A03FCE"/>
    <w:rsid w:val="00A048D1"/>
    <w:rsid w:val="00A05164"/>
    <w:rsid w:val="00A05401"/>
    <w:rsid w:val="00A06ED1"/>
    <w:rsid w:val="00A10B0B"/>
    <w:rsid w:val="00A126C2"/>
    <w:rsid w:val="00A12813"/>
    <w:rsid w:val="00A13421"/>
    <w:rsid w:val="00A15564"/>
    <w:rsid w:val="00A1564A"/>
    <w:rsid w:val="00A15FA5"/>
    <w:rsid w:val="00A170EA"/>
    <w:rsid w:val="00A17E97"/>
    <w:rsid w:val="00A204E4"/>
    <w:rsid w:val="00A24CC1"/>
    <w:rsid w:val="00A27B7A"/>
    <w:rsid w:val="00A27C15"/>
    <w:rsid w:val="00A30612"/>
    <w:rsid w:val="00A30FD7"/>
    <w:rsid w:val="00A3218B"/>
    <w:rsid w:val="00A332FE"/>
    <w:rsid w:val="00A338EA"/>
    <w:rsid w:val="00A3455D"/>
    <w:rsid w:val="00A36A26"/>
    <w:rsid w:val="00A36C1C"/>
    <w:rsid w:val="00A374CE"/>
    <w:rsid w:val="00A37F25"/>
    <w:rsid w:val="00A37F47"/>
    <w:rsid w:val="00A4030E"/>
    <w:rsid w:val="00A41018"/>
    <w:rsid w:val="00A418E1"/>
    <w:rsid w:val="00A42C9A"/>
    <w:rsid w:val="00A43EBB"/>
    <w:rsid w:val="00A448B8"/>
    <w:rsid w:val="00A44A86"/>
    <w:rsid w:val="00A45BB6"/>
    <w:rsid w:val="00A46C87"/>
    <w:rsid w:val="00A46E22"/>
    <w:rsid w:val="00A47197"/>
    <w:rsid w:val="00A472C8"/>
    <w:rsid w:val="00A51823"/>
    <w:rsid w:val="00A521A3"/>
    <w:rsid w:val="00A5362B"/>
    <w:rsid w:val="00A53B1D"/>
    <w:rsid w:val="00A53F7C"/>
    <w:rsid w:val="00A54C54"/>
    <w:rsid w:val="00A561E1"/>
    <w:rsid w:val="00A5668C"/>
    <w:rsid w:val="00A56AF4"/>
    <w:rsid w:val="00A61061"/>
    <w:rsid w:val="00A61582"/>
    <w:rsid w:val="00A61601"/>
    <w:rsid w:val="00A618D2"/>
    <w:rsid w:val="00A62226"/>
    <w:rsid w:val="00A627F3"/>
    <w:rsid w:val="00A6604D"/>
    <w:rsid w:val="00A6675E"/>
    <w:rsid w:val="00A674F9"/>
    <w:rsid w:val="00A676D0"/>
    <w:rsid w:val="00A67F09"/>
    <w:rsid w:val="00A70A8B"/>
    <w:rsid w:val="00A71670"/>
    <w:rsid w:val="00A71BEA"/>
    <w:rsid w:val="00A7325A"/>
    <w:rsid w:val="00A745C1"/>
    <w:rsid w:val="00A751F9"/>
    <w:rsid w:val="00A763AB"/>
    <w:rsid w:val="00A77597"/>
    <w:rsid w:val="00A77998"/>
    <w:rsid w:val="00A77C7A"/>
    <w:rsid w:val="00A802E9"/>
    <w:rsid w:val="00A80A3A"/>
    <w:rsid w:val="00A820F3"/>
    <w:rsid w:val="00A82314"/>
    <w:rsid w:val="00A8395E"/>
    <w:rsid w:val="00A83B83"/>
    <w:rsid w:val="00A8433E"/>
    <w:rsid w:val="00A87479"/>
    <w:rsid w:val="00A87C59"/>
    <w:rsid w:val="00A90053"/>
    <w:rsid w:val="00A956BD"/>
    <w:rsid w:val="00A95AA5"/>
    <w:rsid w:val="00A965FE"/>
    <w:rsid w:val="00A96B0B"/>
    <w:rsid w:val="00A9719A"/>
    <w:rsid w:val="00A97A01"/>
    <w:rsid w:val="00A97FAF"/>
    <w:rsid w:val="00AA15EB"/>
    <w:rsid w:val="00AA1D90"/>
    <w:rsid w:val="00AA2B62"/>
    <w:rsid w:val="00AA3440"/>
    <w:rsid w:val="00AA35B5"/>
    <w:rsid w:val="00AA3A95"/>
    <w:rsid w:val="00AA4308"/>
    <w:rsid w:val="00AA4A79"/>
    <w:rsid w:val="00AA72EB"/>
    <w:rsid w:val="00AA7799"/>
    <w:rsid w:val="00AA7912"/>
    <w:rsid w:val="00AB06B8"/>
    <w:rsid w:val="00AB0889"/>
    <w:rsid w:val="00AB11DD"/>
    <w:rsid w:val="00AB40C9"/>
    <w:rsid w:val="00AB5D9C"/>
    <w:rsid w:val="00AB5DEE"/>
    <w:rsid w:val="00AB607D"/>
    <w:rsid w:val="00AB730B"/>
    <w:rsid w:val="00AB7583"/>
    <w:rsid w:val="00AC0B3C"/>
    <w:rsid w:val="00AC1AE0"/>
    <w:rsid w:val="00AC1E44"/>
    <w:rsid w:val="00AC1F64"/>
    <w:rsid w:val="00AC25C9"/>
    <w:rsid w:val="00AC29DC"/>
    <w:rsid w:val="00AC3208"/>
    <w:rsid w:val="00AC326B"/>
    <w:rsid w:val="00AC3F28"/>
    <w:rsid w:val="00AC41E5"/>
    <w:rsid w:val="00AC469D"/>
    <w:rsid w:val="00AC4C99"/>
    <w:rsid w:val="00AC50E4"/>
    <w:rsid w:val="00AC6830"/>
    <w:rsid w:val="00AC74E3"/>
    <w:rsid w:val="00AC7FCB"/>
    <w:rsid w:val="00AD113E"/>
    <w:rsid w:val="00AD31D7"/>
    <w:rsid w:val="00AD6F9A"/>
    <w:rsid w:val="00AD7BC4"/>
    <w:rsid w:val="00AE0F7D"/>
    <w:rsid w:val="00AE198F"/>
    <w:rsid w:val="00AE1B83"/>
    <w:rsid w:val="00AE1D1F"/>
    <w:rsid w:val="00AF0058"/>
    <w:rsid w:val="00AF0E08"/>
    <w:rsid w:val="00AF0FCD"/>
    <w:rsid w:val="00AF10D9"/>
    <w:rsid w:val="00AF1172"/>
    <w:rsid w:val="00AF1A29"/>
    <w:rsid w:val="00AF25DD"/>
    <w:rsid w:val="00AF2B71"/>
    <w:rsid w:val="00AF2BC5"/>
    <w:rsid w:val="00AF3390"/>
    <w:rsid w:val="00AF38E9"/>
    <w:rsid w:val="00B00D0C"/>
    <w:rsid w:val="00B00EEF"/>
    <w:rsid w:val="00B013CD"/>
    <w:rsid w:val="00B01F1E"/>
    <w:rsid w:val="00B04DEF"/>
    <w:rsid w:val="00B05E6E"/>
    <w:rsid w:val="00B0633D"/>
    <w:rsid w:val="00B106BF"/>
    <w:rsid w:val="00B11AAC"/>
    <w:rsid w:val="00B11D04"/>
    <w:rsid w:val="00B12226"/>
    <w:rsid w:val="00B13539"/>
    <w:rsid w:val="00B14D84"/>
    <w:rsid w:val="00B14F99"/>
    <w:rsid w:val="00B17DDA"/>
    <w:rsid w:val="00B21ACB"/>
    <w:rsid w:val="00B25759"/>
    <w:rsid w:val="00B2692E"/>
    <w:rsid w:val="00B26D7A"/>
    <w:rsid w:val="00B2790B"/>
    <w:rsid w:val="00B27E1E"/>
    <w:rsid w:val="00B31291"/>
    <w:rsid w:val="00B325CF"/>
    <w:rsid w:val="00B331C8"/>
    <w:rsid w:val="00B3324B"/>
    <w:rsid w:val="00B34C2B"/>
    <w:rsid w:val="00B35D11"/>
    <w:rsid w:val="00B36B49"/>
    <w:rsid w:val="00B40CCB"/>
    <w:rsid w:val="00B42FFC"/>
    <w:rsid w:val="00B435D9"/>
    <w:rsid w:val="00B44242"/>
    <w:rsid w:val="00B4456A"/>
    <w:rsid w:val="00B51613"/>
    <w:rsid w:val="00B51B09"/>
    <w:rsid w:val="00B51B9C"/>
    <w:rsid w:val="00B5209D"/>
    <w:rsid w:val="00B535BF"/>
    <w:rsid w:val="00B54E47"/>
    <w:rsid w:val="00B57527"/>
    <w:rsid w:val="00B57B25"/>
    <w:rsid w:val="00B608B9"/>
    <w:rsid w:val="00B60D15"/>
    <w:rsid w:val="00B61E70"/>
    <w:rsid w:val="00B63277"/>
    <w:rsid w:val="00B636FE"/>
    <w:rsid w:val="00B664F6"/>
    <w:rsid w:val="00B665E2"/>
    <w:rsid w:val="00B67773"/>
    <w:rsid w:val="00B72489"/>
    <w:rsid w:val="00B738C1"/>
    <w:rsid w:val="00B761FB"/>
    <w:rsid w:val="00B76AAD"/>
    <w:rsid w:val="00B804EB"/>
    <w:rsid w:val="00B811AE"/>
    <w:rsid w:val="00B82B6C"/>
    <w:rsid w:val="00B83FFA"/>
    <w:rsid w:val="00B845E7"/>
    <w:rsid w:val="00B90E27"/>
    <w:rsid w:val="00B91598"/>
    <w:rsid w:val="00B9196E"/>
    <w:rsid w:val="00B9225E"/>
    <w:rsid w:val="00B92502"/>
    <w:rsid w:val="00B93361"/>
    <w:rsid w:val="00B96109"/>
    <w:rsid w:val="00B96575"/>
    <w:rsid w:val="00BA1AB3"/>
    <w:rsid w:val="00BA2422"/>
    <w:rsid w:val="00BA2477"/>
    <w:rsid w:val="00BA322A"/>
    <w:rsid w:val="00BA4272"/>
    <w:rsid w:val="00BA505D"/>
    <w:rsid w:val="00BA6E86"/>
    <w:rsid w:val="00BA7671"/>
    <w:rsid w:val="00BB16A3"/>
    <w:rsid w:val="00BB2B4C"/>
    <w:rsid w:val="00BB40FC"/>
    <w:rsid w:val="00BB4C76"/>
    <w:rsid w:val="00BB5C4F"/>
    <w:rsid w:val="00BB7147"/>
    <w:rsid w:val="00BC03F3"/>
    <w:rsid w:val="00BC0AAB"/>
    <w:rsid w:val="00BC18F8"/>
    <w:rsid w:val="00BC5F41"/>
    <w:rsid w:val="00BC6A57"/>
    <w:rsid w:val="00BC728F"/>
    <w:rsid w:val="00BD0558"/>
    <w:rsid w:val="00BD0E2A"/>
    <w:rsid w:val="00BD10A8"/>
    <w:rsid w:val="00BD2134"/>
    <w:rsid w:val="00BD40E5"/>
    <w:rsid w:val="00BD4D6E"/>
    <w:rsid w:val="00BD5E77"/>
    <w:rsid w:val="00BD6367"/>
    <w:rsid w:val="00BD7060"/>
    <w:rsid w:val="00BE0D0D"/>
    <w:rsid w:val="00BE18A3"/>
    <w:rsid w:val="00BE545F"/>
    <w:rsid w:val="00BE54E8"/>
    <w:rsid w:val="00BE56B7"/>
    <w:rsid w:val="00BE630E"/>
    <w:rsid w:val="00BF07A4"/>
    <w:rsid w:val="00BF112D"/>
    <w:rsid w:val="00BF2B47"/>
    <w:rsid w:val="00BF44A4"/>
    <w:rsid w:val="00BF5857"/>
    <w:rsid w:val="00C02C9B"/>
    <w:rsid w:val="00C03400"/>
    <w:rsid w:val="00C03E42"/>
    <w:rsid w:val="00C0672C"/>
    <w:rsid w:val="00C07924"/>
    <w:rsid w:val="00C100B7"/>
    <w:rsid w:val="00C108B2"/>
    <w:rsid w:val="00C10BF4"/>
    <w:rsid w:val="00C112F5"/>
    <w:rsid w:val="00C12D12"/>
    <w:rsid w:val="00C165B1"/>
    <w:rsid w:val="00C177B9"/>
    <w:rsid w:val="00C17900"/>
    <w:rsid w:val="00C17DEA"/>
    <w:rsid w:val="00C200B9"/>
    <w:rsid w:val="00C2574D"/>
    <w:rsid w:val="00C27910"/>
    <w:rsid w:val="00C30D78"/>
    <w:rsid w:val="00C30F80"/>
    <w:rsid w:val="00C3135A"/>
    <w:rsid w:val="00C31C41"/>
    <w:rsid w:val="00C34BA0"/>
    <w:rsid w:val="00C34F83"/>
    <w:rsid w:val="00C35739"/>
    <w:rsid w:val="00C374F3"/>
    <w:rsid w:val="00C37CE2"/>
    <w:rsid w:val="00C40837"/>
    <w:rsid w:val="00C408CD"/>
    <w:rsid w:val="00C40CBA"/>
    <w:rsid w:val="00C40FC4"/>
    <w:rsid w:val="00C42528"/>
    <w:rsid w:val="00C45AA0"/>
    <w:rsid w:val="00C4693A"/>
    <w:rsid w:val="00C46F6B"/>
    <w:rsid w:val="00C5501E"/>
    <w:rsid w:val="00C55EFC"/>
    <w:rsid w:val="00C56B69"/>
    <w:rsid w:val="00C5708C"/>
    <w:rsid w:val="00C57F73"/>
    <w:rsid w:val="00C603B0"/>
    <w:rsid w:val="00C61A53"/>
    <w:rsid w:val="00C61F5D"/>
    <w:rsid w:val="00C62F46"/>
    <w:rsid w:val="00C631F8"/>
    <w:rsid w:val="00C632D1"/>
    <w:rsid w:val="00C64646"/>
    <w:rsid w:val="00C65143"/>
    <w:rsid w:val="00C65E71"/>
    <w:rsid w:val="00C6636C"/>
    <w:rsid w:val="00C665F4"/>
    <w:rsid w:val="00C66E5D"/>
    <w:rsid w:val="00C66E84"/>
    <w:rsid w:val="00C66EC6"/>
    <w:rsid w:val="00C67F0A"/>
    <w:rsid w:val="00C70006"/>
    <w:rsid w:val="00C711F6"/>
    <w:rsid w:val="00C71FB8"/>
    <w:rsid w:val="00C7217C"/>
    <w:rsid w:val="00C723AC"/>
    <w:rsid w:val="00C732C8"/>
    <w:rsid w:val="00C749B9"/>
    <w:rsid w:val="00C74FC3"/>
    <w:rsid w:val="00C75F26"/>
    <w:rsid w:val="00C77B11"/>
    <w:rsid w:val="00C81DB9"/>
    <w:rsid w:val="00C81E4B"/>
    <w:rsid w:val="00C83AD1"/>
    <w:rsid w:val="00C85190"/>
    <w:rsid w:val="00C86772"/>
    <w:rsid w:val="00C9012E"/>
    <w:rsid w:val="00C90CC0"/>
    <w:rsid w:val="00C921C8"/>
    <w:rsid w:val="00C9292A"/>
    <w:rsid w:val="00C930B4"/>
    <w:rsid w:val="00C93C62"/>
    <w:rsid w:val="00C94439"/>
    <w:rsid w:val="00C967C2"/>
    <w:rsid w:val="00CA0CC6"/>
    <w:rsid w:val="00CA2010"/>
    <w:rsid w:val="00CA29C1"/>
    <w:rsid w:val="00CA3585"/>
    <w:rsid w:val="00CA35F2"/>
    <w:rsid w:val="00CA36F1"/>
    <w:rsid w:val="00CA39BE"/>
    <w:rsid w:val="00CA3A0E"/>
    <w:rsid w:val="00CA4137"/>
    <w:rsid w:val="00CA527F"/>
    <w:rsid w:val="00CA58B2"/>
    <w:rsid w:val="00CA6AA3"/>
    <w:rsid w:val="00CA6E12"/>
    <w:rsid w:val="00CB023A"/>
    <w:rsid w:val="00CB1134"/>
    <w:rsid w:val="00CB12B7"/>
    <w:rsid w:val="00CB20F9"/>
    <w:rsid w:val="00CB5BB4"/>
    <w:rsid w:val="00CC2513"/>
    <w:rsid w:val="00CC4675"/>
    <w:rsid w:val="00CC4CAD"/>
    <w:rsid w:val="00CD06D8"/>
    <w:rsid w:val="00CD1505"/>
    <w:rsid w:val="00CD1DAB"/>
    <w:rsid w:val="00CD3C32"/>
    <w:rsid w:val="00CD495E"/>
    <w:rsid w:val="00CD62C2"/>
    <w:rsid w:val="00CE02BD"/>
    <w:rsid w:val="00CE0BEF"/>
    <w:rsid w:val="00CE118C"/>
    <w:rsid w:val="00CE1A6C"/>
    <w:rsid w:val="00CE26CE"/>
    <w:rsid w:val="00CE2B26"/>
    <w:rsid w:val="00CE5F58"/>
    <w:rsid w:val="00CE7090"/>
    <w:rsid w:val="00CE71D2"/>
    <w:rsid w:val="00CF0EFB"/>
    <w:rsid w:val="00CF1912"/>
    <w:rsid w:val="00CF2212"/>
    <w:rsid w:val="00CF560D"/>
    <w:rsid w:val="00D00D38"/>
    <w:rsid w:val="00D03D59"/>
    <w:rsid w:val="00D0523C"/>
    <w:rsid w:val="00D05D50"/>
    <w:rsid w:val="00D06096"/>
    <w:rsid w:val="00D111EB"/>
    <w:rsid w:val="00D12E82"/>
    <w:rsid w:val="00D139FF"/>
    <w:rsid w:val="00D142D4"/>
    <w:rsid w:val="00D1436D"/>
    <w:rsid w:val="00D14717"/>
    <w:rsid w:val="00D15E17"/>
    <w:rsid w:val="00D161C4"/>
    <w:rsid w:val="00D16CED"/>
    <w:rsid w:val="00D17A96"/>
    <w:rsid w:val="00D17B59"/>
    <w:rsid w:val="00D20DF9"/>
    <w:rsid w:val="00D20EE7"/>
    <w:rsid w:val="00D224B0"/>
    <w:rsid w:val="00D2257E"/>
    <w:rsid w:val="00D22AD9"/>
    <w:rsid w:val="00D26470"/>
    <w:rsid w:val="00D26784"/>
    <w:rsid w:val="00D26FB0"/>
    <w:rsid w:val="00D27BB4"/>
    <w:rsid w:val="00D31D93"/>
    <w:rsid w:val="00D32CCC"/>
    <w:rsid w:val="00D33985"/>
    <w:rsid w:val="00D34C26"/>
    <w:rsid w:val="00D34D8A"/>
    <w:rsid w:val="00D352C0"/>
    <w:rsid w:val="00D3557A"/>
    <w:rsid w:val="00D366D4"/>
    <w:rsid w:val="00D36A73"/>
    <w:rsid w:val="00D36D89"/>
    <w:rsid w:val="00D36E90"/>
    <w:rsid w:val="00D40888"/>
    <w:rsid w:val="00D40E4A"/>
    <w:rsid w:val="00D4241F"/>
    <w:rsid w:val="00D43F2C"/>
    <w:rsid w:val="00D449EA"/>
    <w:rsid w:val="00D45104"/>
    <w:rsid w:val="00D465B8"/>
    <w:rsid w:val="00D46EA3"/>
    <w:rsid w:val="00D50849"/>
    <w:rsid w:val="00D50CAC"/>
    <w:rsid w:val="00D52082"/>
    <w:rsid w:val="00D53029"/>
    <w:rsid w:val="00D54933"/>
    <w:rsid w:val="00D550D8"/>
    <w:rsid w:val="00D56B90"/>
    <w:rsid w:val="00D57219"/>
    <w:rsid w:val="00D57D49"/>
    <w:rsid w:val="00D600F0"/>
    <w:rsid w:val="00D602D7"/>
    <w:rsid w:val="00D619CE"/>
    <w:rsid w:val="00D62415"/>
    <w:rsid w:val="00D62656"/>
    <w:rsid w:val="00D632F3"/>
    <w:rsid w:val="00D65035"/>
    <w:rsid w:val="00D6591B"/>
    <w:rsid w:val="00D660E4"/>
    <w:rsid w:val="00D66E90"/>
    <w:rsid w:val="00D674BE"/>
    <w:rsid w:val="00D70623"/>
    <w:rsid w:val="00D714F8"/>
    <w:rsid w:val="00D7285A"/>
    <w:rsid w:val="00D736B0"/>
    <w:rsid w:val="00D76EEA"/>
    <w:rsid w:val="00D77648"/>
    <w:rsid w:val="00D776AD"/>
    <w:rsid w:val="00D802FE"/>
    <w:rsid w:val="00D803BC"/>
    <w:rsid w:val="00D80517"/>
    <w:rsid w:val="00D807AE"/>
    <w:rsid w:val="00D859CB"/>
    <w:rsid w:val="00D85B2E"/>
    <w:rsid w:val="00D869D2"/>
    <w:rsid w:val="00D86AF6"/>
    <w:rsid w:val="00D86BC6"/>
    <w:rsid w:val="00D86BD3"/>
    <w:rsid w:val="00D877AB"/>
    <w:rsid w:val="00D94160"/>
    <w:rsid w:val="00D941D8"/>
    <w:rsid w:val="00D949B5"/>
    <w:rsid w:val="00D976B5"/>
    <w:rsid w:val="00D97999"/>
    <w:rsid w:val="00DA0258"/>
    <w:rsid w:val="00DA02CA"/>
    <w:rsid w:val="00DA0D9D"/>
    <w:rsid w:val="00DA160C"/>
    <w:rsid w:val="00DA3AD7"/>
    <w:rsid w:val="00DA3DAF"/>
    <w:rsid w:val="00DB1FF1"/>
    <w:rsid w:val="00DB25CB"/>
    <w:rsid w:val="00DB2698"/>
    <w:rsid w:val="00DB2A1A"/>
    <w:rsid w:val="00DB3D41"/>
    <w:rsid w:val="00DB3EAA"/>
    <w:rsid w:val="00DB3EF4"/>
    <w:rsid w:val="00DB4BE3"/>
    <w:rsid w:val="00DB5197"/>
    <w:rsid w:val="00DB5414"/>
    <w:rsid w:val="00DB5B50"/>
    <w:rsid w:val="00DB5F3C"/>
    <w:rsid w:val="00DC0F96"/>
    <w:rsid w:val="00DC1C7E"/>
    <w:rsid w:val="00DC2B9C"/>
    <w:rsid w:val="00DC33EC"/>
    <w:rsid w:val="00DC52E4"/>
    <w:rsid w:val="00DC6C8F"/>
    <w:rsid w:val="00DC7014"/>
    <w:rsid w:val="00DC71FB"/>
    <w:rsid w:val="00DD0949"/>
    <w:rsid w:val="00DD1507"/>
    <w:rsid w:val="00DD208E"/>
    <w:rsid w:val="00DD2D33"/>
    <w:rsid w:val="00DD52E5"/>
    <w:rsid w:val="00DD64D1"/>
    <w:rsid w:val="00DD7403"/>
    <w:rsid w:val="00DD7EAA"/>
    <w:rsid w:val="00DE05D1"/>
    <w:rsid w:val="00DE0770"/>
    <w:rsid w:val="00DE0FF2"/>
    <w:rsid w:val="00DE3042"/>
    <w:rsid w:val="00DE32FD"/>
    <w:rsid w:val="00DE385D"/>
    <w:rsid w:val="00DE4139"/>
    <w:rsid w:val="00DE48FB"/>
    <w:rsid w:val="00DE4D12"/>
    <w:rsid w:val="00DE543B"/>
    <w:rsid w:val="00DE54CB"/>
    <w:rsid w:val="00DE5D9E"/>
    <w:rsid w:val="00DE5F66"/>
    <w:rsid w:val="00DE70A1"/>
    <w:rsid w:val="00DE7443"/>
    <w:rsid w:val="00DE7519"/>
    <w:rsid w:val="00DE7B5F"/>
    <w:rsid w:val="00DE7EF7"/>
    <w:rsid w:val="00DF0864"/>
    <w:rsid w:val="00DF26E0"/>
    <w:rsid w:val="00DF29FE"/>
    <w:rsid w:val="00DF2B2B"/>
    <w:rsid w:val="00DF40E8"/>
    <w:rsid w:val="00DF43CF"/>
    <w:rsid w:val="00DF63B8"/>
    <w:rsid w:val="00DF6DA1"/>
    <w:rsid w:val="00DF71BB"/>
    <w:rsid w:val="00E004BC"/>
    <w:rsid w:val="00E00D3E"/>
    <w:rsid w:val="00E01755"/>
    <w:rsid w:val="00E02F40"/>
    <w:rsid w:val="00E0502B"/>
    <w:rsid w:val="00E05051"/>
    <w:rsid w:val="00E05583"/>
    <w:rsid w:val="00E0586C"/>
    <w:rsid w:val="00E05A13"/>
    <w:rsid w:val="00E10A32"/>
    <w:rsid w:val="00E120EF"/>
    <w:rsid w:val="00E12A1C"/>
    <w:rsid w:val="00E12FEB"/>
    <w:rsid w:val="00E135D8"/>
    <w:rsid w:val="00E13D63"/>
    <w:rsid w:val="00E14AA6"/>
    <w:rsid w:val="00E14DFD"/>
    <w:rsid w:val="00E161FD"/>
    <w:rsid w:val="00E16507"/>
    <w:rsid w:val="00E16BFB"/>
    <w:rsid w:val="00E175BC"/>
    <w:rsid w:val="00E17DBA"/>
    <w:rsid w:val="00E203C9"/>
    <w:rsid w:val="00E210AE"/>
    <w:rsid w:val="00E21264"/>
    <w:rsid w:val="00E21CA9"/>
    <w:rsid w:val="00E22ED1"/>
    <w:rsid w:val="00E230F2"/>
    <w:rsid w:val="00E2328D"/>
    <w:rsid w:val="00E233C9"/>
    <w:rsid w:val="00E23B39"/>
    <w:rsid w:val="00E25C37"/>
    <w:rsid w:val="00E27496"/>
    <w:rsid w:val="00E27B12"/>
    <w:rsid w:val="00E304E4"/>
    <w:rsid w:val="00E30E1E"/>
    <w:rsid w:val="00E3290D"/>
    <w:rsid w:val="00E33616"/>
    <w:rsid w:val="00E3365D"/>
    <w:rsid w:val="00E337AB"/>
    <w:rsid w:val="00E3429F"/>
    <w:rsid w:val="00E34FFD"/>
    <w:rsid w:val="00E36A7B"/>
    <w:rsid w:val="00E37B14"/>
    <w:rsid w:val="00E4025A"/>
    <w:rsid w:val="00E40D5E"/>
    <w:rsid w:val="00E41919"/>
    <w:rsid w:val="00E4269D"/>
    <w:rsid w:val="00E42BE0"/>
    <w:rsid w:val="00E42CB2"/>
    <w:rsid w:val="00E43AFA"/>
    <w:rsid w:val="00E4417D"/>
    <w:rsid w:val="00E448E7"/>
    <w:rsid w:val="00E449D2"/>
    <w:rsid w:val="00E4509A"/>
    <w:rsid w:val="00E46E13"/>
    <w:rsid w:val="00E47AF1"/>
    <w:rsid w:val="00E50CAC"/>
    <w:rsid w:val="00E50D91"/>
    <w:rsid w:val="00E518DF"/>
    <w:rsid w:val="00E52D6E"/>
    <w:rsid w:val="00E5368B"/>
    <w:rsid w:val="00E562C5"/>
    <w:rsid w:val="00E60137"/>
    <w:rsid w:val="00E611C4"/>
    <w:rsid w:val="00E6386B"/>
    <w:rsid w:val="00E64595"/>
    <w:rsid w:val="00E66598"/>
    <w:rsid w:val="00E66C8A"/>
    <w:rsid w:val="00E671D8"/>
    <w:rsid w:val="00E676DD"/>
    <w:rsid w:val="00E71327"/>
    <w:rsid w:val="00E72BC2"/>
    <w:rsid w:val="00E74FD1"/>
    <w:rsid w:val="00E76164"/>
    <w:rsid w:val="00E76651"/>
    <w:rsid w:val="00E80743"/>
    <w:rsid w:val="00E81583"/>
    <w:rsid w:val="00E8166F"/>
    <w:rsid w:val="00E818F8"/>
    <w:rsid w:val="00E81EAB"/>
    <w:rsid w:val="00E838A2"/>
    <w:rsid w:val="00E8687A"/>
    <w:rsid w:val="00E87739"/>
    <w:rsid w:val="00E90157"/>
    <w:rsid w:val="00E90442"/>
    <w:rsid w:val="00E925AF"/>
    <w:rsid w:val="00E93186"/>
    <w:rsid w:val="00E93A14"/>
    <w:rsid w:val="00E93CD5"/>
    <w:rsid w:val="00E96337"/>
    <w:rsid w:val="00E975D6"/>
    <w:rsid w:val="00EA048F"/>
    <w:rsid w:val="00EA26C7"/>
    <w:rsid w:val="00EA6907"/>
    <w:rsid w:val="00EA7461"/>
    <w:rsid w:val="00EA7C00"/>
    <w:rsid w:val="00EB15C9"/>
    <w:rsid w:val="00EB1BEA"/>
    <w:rsid w:val="00EB3C1A"/>
    <w:rsid w:val="00EB50B5"/>
    <w:rsid w:val="00EB5D1B"/>
    <w:rsid w:val="00EC1063"/>
    <w:rsid w:val="00EC19DB"/>
    <w:rsid w:val="00EC1BAA"/>
    <w:rsid w:val="00EC2C62"/>
    <w:rsid w:val="00EC308C"/>
    <w:rsid w:val="00EC4C43"/>
    <w:rsid w:val="00EC563E"/>
    <w:rsid w:val="00ED0953"/>
    <w:rsid w:val="00ED11C6"/>
    <w:rsid w:val="00ED129E"/>
    <w:rsid w:val="00ED18D4"/>
    <w:rsid w:val="00ED1BA3"/>
    <w:rsid w:val="00ED2A82"/>
    <w:rsid w:val="00ED2A8B"/>
    <w:rsid w:val="00ED39C1"/>
    <w:rsid w:val="00ED6888"/>
    <w:rsid w:val="00ED717C"/>
    <w:rsid w:val="00ED73BE"/>
    <w:rsid w:val="00ED7D14"/>
    <w:rsid w:val="00EE054F"/>
    <w:rsid w:val="00EE0757"/>
    <w:rsid w:val="00EE194F"/>
    <w:rsid w:val="00EE1D17"/>
    <w:rsid w:val="00EE24A1"/>
    <w:rsid w:val="00EE3A46"/>
    <w:rsid w:val="00EE411C"/>
    <w:rsid w:val="00EE5CEE"/>
    <w:rsid w:val="00EE6084"/>
    <w:rsid w:val="00EE6786"/>
    <w:rsid w:val="00EE78AB"/>
    <w:rsid w:val="00EF0472"/>
    <w:rsid w:val="00EF0788"/>
    <w:rsid w:val="00EF1AB2"/>
    <w:rsid w:val="00EF312A"/>
    <w:rsid w:val="00EF319F"/>
    <w:rsid w:val="00EF32A1"/>
    <w:rsid w:val="00EF33B4"/>
    <w:rsid w:val="00EF4F48"/>
    <w:rsid w:val="00EF510A"/>
    <w:rsid w:val="00EF632E"/>
    <w:rsid w:val="00EF7225"/>
    <w:rsid w:val="00EF7367"/>
    <w:rsid w:val="00F00174"/>
    <w:rsid w:val="00F01115"/>
    <w:rsid w:val="00F046F7"/>
    <w:rsid w:val="00F046FE"/>
    <w:rsid w:val="00F04E9E"/>
    <w:rsid w:val="00F0733F"/>
    <w:rsid w:val="00F10723"/>
    <w:rsid w:val="00F10DC4"/>
    <w:rsid w:val="00F11BA6"/>
    <w:rsid w:val="00F11E5E"/>
    <w:rsid w:val="00F150E3"/>
    <w:rsid w:val="00F15FFA"/>
    <w:rsid w:val="00F16858"/>
    <w:rsid w:val="00F207FA"/>
    <w:rsid w:val="00F20FA2"/>
    <w:rsid w:val="00F21C66"/>
    <w:rsid w:val="00F22616"/>
    <w:rsid w:val="00F24E7B"/>
    <w:rsid w:val="00F2510D"/>
    <w:rsid w:val="00F256C0"/>
    <w:rsid w:val="00F25CE0"/>
    <w:rsid w:val="00F2683B"/>
    <w:rsid w:val="00F2712E"/>
    <w:rsid w:val="00F27484"/>
    <w:rsid w:val="00F27F77"/>
    <w:rsid w:val="00F30211"/>
    <w:rsid w:val="00F30E12"/>
    <w:rsid w:val="00F31FF6"/>
    <w:rsid w:val="00F323BD"/>
    <w:rsid w:val="00F324BD"/>
    <w:rsid w:val="00F33C9C"/>
    <w:rsid w:val="00F34F4C"/>
    <w:rsid w:val="00F3591F"/>
    <w:rsid w:val="00F3632A"/>
    <w:rsid w:val="00F37FEC"/>
    <w:rsid w:val="00F40C52"/>
    <w:rsid w:val="00F417F3"/>
    <w:rsid w:val="00F43A11"/>
    <w:rsid w:val="00F4473E"/>
    <w:rsid w:val="00F4764A"/>
    <w:rsid w:val="00F47AAD"/>
    <w:rsid w:val="00F50BE6"/>
    <w:rsid w:val="00F50D3E"/>
    <w:rsid w:val="00F51267"/>
    <w:rsid w:val="00F60194"/>
    <w:rsid w:val="00F613A4"/>
    <w:rsid w:val="00F619F8"/>
    <w:rsid w:val="00F625C4"/>
    <w:rsid w:val="00F636BB"/>
    <w:rsid w:val="00F643B6"/>
    <w:rsid w:val="00F64677"/>
    <w:rsid w:val="00F64DB5"/>
    <w:rsid w:val="00F64E29"/>
    <w:rsid w:val="00F65253"/>
    <w:rsid w:val="00F65459"/>
    <w:rsid w:val="00F70718"/>
    <w:rsid w:val="00F70D82"/>
    <w:rsid w:val="00F713CA"/>
    <w:rsid w:val="00F7150D"/>
    <w:rsid w:val="00F71A1C"/>
    <w:rsid w:val="00F725CA"/>
    <w:rsid w:val="00F72E53"/>
    <w:rsid w:val="00F739A7"/>
    <w:rsid w:val="00F74901"/>
    <w:rsid w:val="00F75D13"/>
    <w:rsid w:val="00F8009D"/>
    <w:rsid w:val="00F80FF3"/>
    <w:rsid w:val="00F820C3"/>
    <w:rsid w:val="00F82344"/>
    <w:rsid w:val="00F834CD"/>
    <w:rsid w:val="00F846B6"/>
    <w:rsid w:val="00F85CFF"/>
    <w:rsid w:val="00F86351"/>
    <w:rsid w:val="00F8658C"/>
    <w:rsid w:val="00F9011F"/>
    <w:rsid w:val="00F9058B"/>
    <w:rsid w:val="00F90C98"/>
    <w:rsid w:val="00F92352"/>
    <w:rsid w:val="00F941C9"/>
    <w:rsid w:val="00F94993"/>
    <w:rsid w:val="00F94DDC"/>
    <w:rsid w:val="00F956B2"/>
    <w:rsid w:val="00FA0B99"/>
    <w:rsid w:val="00FA2AB9"/>
    <w:rsid w:val="00FA2E06"/>
    <w:rsid w:val="00FA523A"/>
    <w:rsid w:val="00FA70AE"/>
    <w:rsid w:val="00FB1528"/>
    <w:rsid w:val="00FB2BE7"/>
    <w:rsid w:val="00FB2BFA"/>
    <w:rsid w:val="00FB2FB1"/>
    <w:rsid w:val="00FB4983"/>
    <w:rsid w:val="00FB4F41"/>
    <w:rsid w:val="00FB570C"/>
    <w:rsid w:val="00FB5C55"/>
    <w:rsid w:val="00FB64BA"/>
    <w:rsid w:val="00FB76D0"/>
    <w:rsid w:val="00FB7D54"/>
    <w:rsid w:val="00FC0161"/>
    <w:rsid w:val="00FC0660"/>
    <w:rsid w:val="00FC0D55"/>
    <w:rsid w:val="00FC0D64"/>
    <w:rsid w:val="00FC1425"/>
    <w:rsid w:val="00FC1C12"/>
    <w:rsid w:val="00FC29B8"/>
    <w:rsid w:val="00FC2A09"/>
    <w:rsid w:val="00FC30FF"/>
    <w:rsid w:val="00FC4AC4"/>
    <w:rsid w:val="00FC68F4"/>
    <w:rsid w:val="00FC7FBB"/>
    <w:rsid w:val="00FD05A7"/>
    <w:rsid w:val="00FD1351"/>
    <w:rsid w:val="00FD13A7"/>
    <w:rsid w:val="00FD238A"/>
    <w:rsid w:val="00FD3E8A"/>
    <w:rsid w:val="00FD3F67"/>
    <w:rsid w:val="00FD7D80"/>
    <w:rsid w:val="00FD7EE9"/>
    <w:rsid w:val="00FE0572"/>
    <w:rsid w:val="00FE0A16"/>
    <w:rsid w:val="00FE1519"/>
    <w:rsid w:val="00FE34A0"/>
    <w:rsid w:val="00FE3F34"/>
    <w:rsid w:val="00FE4B2A"/>
    <w:rsid w:val="00FE4F69"/>
    <w:rsid w:val="00FE55CE"/>
    <w:rsid w:val="00FE60C3"/>
    <w:rsid w:val="00FE71DF"/>
    <w:rsid w:val="00FF18A7"/>
    <w:rsid w:val="00FF4763"/>
    <w:rsid w:val="00FF4853"/>
    <w:rsid w:val="00FF5663"/>
    <w:rsid w:val="00FF5B3D"/>
    <w:rsid w:val="00FF6877"/>
    <w:rsid w:val="00FF7B4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D2F"/>
    <w:rPr>
      <w:sz w:val="24"/>
      <w:szCs w:val="24"/>
    </w:rPr>
  </w:style>
  <w:style w:type="paragraph" w:styleId="1">
    <w:name w:val="heading 1"/>
    <w:basedOn w:val="a"/>
    <w:next w:val="a"/>
    <w:link w:val="1Char"/>
    <w:qFormat/>
    <w:rsid w:val="005B6E0D"/>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993306"/>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AB5DEE"/>
    <w:pPr>
      <w:keepNext/>
      <w:spacing w:before="240" w:after="60"/>
      <w:outlineLvl w:val="2"/>
    </w:pPr>
    <w:rPr>
      <w:rFonts w:ascii="Arial" w:hAnsi="Arial" w:cs="Arial"/>
      <w:b/>
      <w:bCs/>
      <w:sz w:val="26"/>
      <w:szCs w:val="26"/>
    </w:rPr>
  </w:style>
  <w:style w:type="paragraph" w:styleId="4">
    <w:name w:val="heading 4"/>
    <w:basedOn w:val="a"/>
    <w:next w:val="a"/>
    <w:link w:val="4Char"/>
    <w:qFormat/>
    <w:rsid w:val="000A3D2F"/>
    <w:pPr>
      <w:keepNext/>
      <w:jc w:val="both"/>
      <w:outlineLvl w:val="3"/>
    </w:pPr>
    <w:rPr>
      <w:b/>
      <w:color w:val="000080"/>
      <w:sz w:val="40"/>
      <w:szCs w:val="22"/>
    </w:rPr>
  </w:style>
  <w:style w:type="paragraph" w:styleId="5">
    <w:name w:val="heading 5"/>
    <w:basedOn w:val="a"/>
    <w:next w:val="a"/>
    <w:link w:val="5Char"/>
    <w:qFormat/>
    <w:rsid w:val="000A3D2F"/>
    <w:pPr>
      <w:keepNext/>
      <w:shd w:val="clear" w:color="auto" w:fill="A6A6A6"/>
      <w:jc w:val="both"/>
      <w:outlineLvl w:val="4"/>
    </w:pPr>
    <w:rPr>
      <w:b/>
      <w:color w:val="FFFFFF"/>
      <w:sz w:val="26"/>
      <w:szCs w:val="22"/>
    </w:rPr>
  </w:style>
  <w:style w:type="paragraph" w:styleId="6">
    <w:name w:val="heading 6"/>
    <w:basedOn w:val="a"/>
    <w:next w:val="a"/>
    <w:link w:val="6Char"/>
    <w:qFormat/>
    <w:rsid w:val="00FB2BFA"/>
    <w:pPr>
      <w:keepNext/>
      <w:autoSpaceDE w:val="0"/>
      <w:autoSpaceDN w:val="0"/>
      <w:adjustRightInd w:val="0"/>
      <w:jc w:val="center"/>
      <w:outlineLvl w:val="5"/>
    </w:pPr>
    <w:rPr>
      <w:rFonts w:ascii="Arial Narrow" w:hAnsi="Arial Narrow" w:cs="TimesNewRoman,Bold"/>
      <w:b/>
      <w:bCs/>
      <w:sz w:val="16"/>
      <w:szCs w:val="16"/>
    </w:rPr>
  </w:style>
  <w:style w:type="paragraph" w:styleId="7">
    <w:name w:val="heading 7"/>
    <w:basedOn w:val="a"/>
    <w:next w:val="a"/>
    <w:link w:val="7Char"/>
    <w:qFormat/>
    <w:rsid w:val="00FB4F41"/>
    <w:pPr>
      <w:spacing w:before="240" w:after="60"/>
      <w:outlineLvl w:val="6"/>
    </w:pPr>
  </w:style>
  <w:style w:type="paragraph" w:styleId="8">
    <w:name w:val="heading 8"/>
    <w:basedOn w:val="a"/>
    <w:next w:val="a"/>
    <w:link w:val="8Char"/>
    <w:qFormat/>
    <w:rsid w:val="00FB76D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40E4A"/>
    <w:pPr>
      <w:tabs>
        <w:tab w:val="center" w:pos="4153"/>
        <w:tab w:val="right" w:pos="8306"/>
      </w:tabs>
    </w:pPr>
  </w:style>
  <w:style w:type="paragraph" w:styleId="a4">
    <w:name w:val="footer"/>
    <w:basedOn w:val="a"/>
    <w:link w:val="Char0"/>
    <w:rsid w:val="00D40E4A"/>
    <w:pPr>
      <w:tabs>
        <w:tab w:val="center" w:pos="4153"/>
        <w:tab w:val="right" w:pos="8306"/>
      </w:tabs>
    </w:pPr>
  </w:style>
  <w:style w:type="character" w:styleId="a5">
    <w:name w:val="page number"/>
    <w:basedOn w:val="a0"/>
    <w:rsid w:val="00D40E4A"/>
  </w:style>
  <w:style w:type="paragraph" w:styleId="a6">
    <w:name w:val="Balloon Text"/>
    <w:basedOn w:val="a"/>
    <w:link w:val="Char1"/>
    <w:semiHidden/>
    <w:rsid w:val="001561CD"/>
    <w:rPr>
      <w:rFonts w:ascii="Tahoma" w:hAnsi="Tahoma" w:cs="Tahoma"/>
      <w:sz w:val="16"/>
      <w:szCs w:val="16"/>
    </w:rPr>
  </w:style>
  <w:style w:type="table" w:styleId="a7">
    <w:name w:val="Table Grid"/>
    <w:basedOn w:val="a1"/>
    <w:rsid w:val="00CA4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Char2"/>
    <w:rsid w:val="00051FCC"/>
    <w:pPr>
      <w:tabs>
        <w:tab w:val="left" w:pos="1080"/>
        <w:tab w:val="left" w:pos="1260"/>
      </w:tabs>
      <w:ind w:left="1260" w:hanging="900"/>
    </w:pPr>
    <w:rPr>
      <w:rFonts w:ascii="Arial Narrow" w:hAnsi="Arial Narrow"/>
      <w:sz w:val="16"/>
      <w:szCs w:val="16"/>
    </w:rPr>
  </w:style>
  <w:style w:type="paragraph" w:styleId="a9">
    <w:name w:val="Body Text"/>
    <w:basedOn w:val="a"/>
    <w:link w:val="Char3"/>
    <w:rsid w:val="000D6D97"/>
    <w:pPr>
      <w:spacing w:after="120"/>
    </w:pPr>
  </w:style>
  <w:style w:type="paragraph" w:styleId="aa">
    <w:name w:val="footnote text"/>
    <w:basedOn w:val="a"/>
    <w:link w:val="Char4"/>
    <w:semiHidden/>
    <w:rsid w:val="006F4ECD"/>
    <w:rPr>
      <w:sz w:val="20"/>
      <w:szCs w:val="20"/>
      <w:lang w:val="en-GB" w:eastAsia="en-US"/>
    </w:rPr>
  </w:style>
  <w:style w:type="character" w:styleId="ab">
    <w:name w:val="footnote reference"/>
    <w:basedOn w:val="a0"/>
    <w:semiHidden/>
    <w:rsid w:val="006F4ECD"/>
    <w:rPr>
      <w:vertAlign w:val="superscript"/>
    </w:rPr>
  </w:style>
  <w:style w:type="paragraph" w:styleId="30">
    <w:name w:val="Body Text Indent 3"/>
    <w:basedOn w:val="a"/>
    <w:link w:val="3Char0"/>
    <w:rsid w:val="008546FE"/>
    <w:pPr>
      <w:spacing w:after="120"/>
      <w:ind w:left="283"/>
    </w:pPr>
    <w:rPr>
      <w:sz w:val="16"/>
      <w:szCs w:val="16"/>
    </w:rPr>
  </w:style>
  <w:style w:type="character" w:styleId="ac">
    <w:name w:val="annotation reference"/>
    <w:basedOn w:val="a0"/>
    <w:semiHidden/>
    <w:rsid w:val="008413BC"/>
    <w:rPr>
      <w:sz w:val="16"/>
      <w:szCs w:val="16"/>
    </w:rPr>
  </w:style>
  <w:style w:type="paragraph" w:styleId="ad">
    <w:name w:val="annotation text"/>
    <w:basedOn w:val="a"/>
    <w:link w:val="Char5"/>
    <w:semiHidden/>
    <w:rsid w:val="008413BC"/>
    <w:rPr>
      <w:sz w:val="20"/>
      <w:szCs w:val="20"/>
    </w:rPr>
  </w:style>
  <w:style w:type="paragraph" w:styleId="ae">
    <w:name w:val="annotation subject"/>
    <w:basedOn w:val="ad"/>
    <w:next w:val="ad"/>
    <w:link w:val="Char6"/>
    <w:semiHidden/>
    <w:rsid w:val="008413BC"/>
    <w:rPr>
      <w:b/>
      <w:bCs/>
    </w:rPr>
  </w:style>
  <w:style w:type="character" w:customStyle="1" w:styleId="1Char">
    <w:name w:val="Επικεφαλίδα 1 Char"/>
    <w:basedOn w:val="a0"/>
    <w:link w:val="1"/>
    <w:rsid w:val="000D0A85"/>
    <w:rPr>
      <w:rFonts w:ascii="Arial" w:hAnsi="Arial" w:cs="Arial"/>
      <w:b/>
      <w:bCs/>
      <w:kern w:val="32"/>
      <w:sz w:val="32"/>
      <w:szCs w:val="32"/>
    </w:rPr>
  </w:style>
  <w:style w:type="character" w:customStyle="1" w:styleId="2Char">
    <w:name w:val="Επικεφαλίδα 2 Char"/>
    <w:basedOn w:val="a0"/>
    <w:link w:val="2"/>
    <w:rsid w:val="000D0A85"/>
    <w:rPr>
      <w:rFonts w:ascii="Arial" w:hAnsi="Arial" w:cs="Arial"/>
      <w:b/>
      <w:bCs/>
      <w:i/>
      <w:iCs/>
      <w:sz w:val="28"/>
      <w:szCs w:val="28"/>
    </w:rPr>
  </w:style>
  <w:style w:type="character" w:customStyle="1" w:styleId="3Char">
    <w:name w:val="Επικεφαλίδα 3 Char"/>
    <w:basedOn w:val="a0"/>
    <w:link w:val="3"/>
    <w:rsid w:val="000D0A85"/>
    <w:rPr>
      <w:rFonts w:ascii="Arial" w:hAnsi="Arial" w:cs="Arial"/>
      <w:b/>
      <w:bCs/>
      <w:sz w:val="26"/>
      <w:szCs w:val="26"/>
    </w:rPr>
  </w:style>
  <w:style w:type="character" w:customStyle="1" w:styleId="4Char">
    <w:name w:val="Επικεφαλίδα 4 Char"/>
    <w:basedOn w:val="a0"/>
    <w:link w:val="4"/>
    <w:rsid w:val="000D0A85"/>
    <w:rPr>
      <w:b/>
      <w:color w:val="000080"/>
      <w:sz w:val="40"/>
      <w:szCs w:val="22"/>
    </w:rPr>
  </w:style>
  <w:style w:type="character" w:customStyle="1" w:styleId="5Char">
    <w:name w:val="Επικεφαλίδα 5 Char"/>
    <w:basedOn w:val="a0"/>
    <w:link w:val="5"/>
    <w:rsid w:val="000D0A85"/>
    <w:rPr>
      <w:b/>
      <w:color w:val="FFFFFF"/>
      <w:sz w:val="26"/>
      <w:szCs w:val="22"/>
      <w:shd w:val="clear" w:color="auto" w:fill="A6A6A6"/>
    </w:rPr>
  </w:style>
  <w:style w:type="character" w:customStyle="1" w:styleId="6Char">
    <w:name w:val="Επικεφαλίδα 6 Char"/>
    <w:basedOn w:val="a0"/>
    <w:link w:val="6"/>
    <w:rsid w:val="000D0A85"/>
    <w:rPr>
      <w:rFonts w:ascii="Arial Narrow" w:hAnsi="Arial Narrow" w:cs="TimesNewRoman,Bold"/>
      <w:b/>
      <w:bCs/>
      <w:sz w:val="16"/>
      <w:szCs w:val="16"/>
    </w:rPr>
  </w:style>
  <w:style w:type="character" w:customStyle="1" w:styleId="7Char">
    <w:name w:val="Επικεφαλίδα 7 Char"/>
    <w:basedOn w:val="a0"/>
    <w:link w:val="7"/>
    <w:rsid w:val="000D0A85"/>
    <w:rPr>
      <w:sz w:val="24"/>
      <w:szCs w:val="24"/>
    </w:rPr>
  </w:style>
  <w:style w:type="character" w:customStyle="1" w:styleId="8Char">
    <w:name w:val="Επικεφαλίδα 8 Char"/>
    <w:basedOn w:val="a0"/>
    <w:link w:val="8"/>
    <w:rsid w:val="000D0A85"/>
    <w:rPr>
      <w:i/>
      <w:iCs/>
      <w:sz w:val="24"/>
      <w:szCs w:val="24"/>
    </w:rPr>
  </w:style>
  <w:style w:type="character" w:customStyle="1" w:styleId="Char">
    <w:name w:val="Κεφαλίδα Char"/>
    <w:basedOn w:val="a0"/>
    <w:link w:val="a3"/>
    <w:rsid w:val="000D0A85"/>
    <w:rPr>
      <w:sz w:val="24"/>
      <w:szCs w:val="24"/>
    </w:rPr>
  </w:style>
  <w:style w:type="character" w:customStyle="1" w:styleId="Char0">
    <w:name w:val="Υποσέλιδο Char"/>
    <w:basedOn w:val="a0"/>
    <w:link w:val="a4"/>
    <w:rsid w:val="000D0A85"/>
    <w:rPr>
      <w:sz w:val="24"/>
      <w:szCs w:val="24"/>
    </w:rPr>
  </w:style>
  <w:style w:type="character" w:customStyle="1" w:styleId="Char1">
    <w:name w:val="Κείμενο πλαισίου Char"/>
    <w:basedOn w:val="a0"/>
    <w:link w:val="a6"/>
    <w:semiHidden/>
    <w:rsid w:val="000D0A85"/>
    <w:rPr>
      <w:rFonts w:ascii="Tahoma" w:hAnsi="Tahoma" w:cs="Tahoma"/>
      <w:sz w:val="16"/>
      <w:szCs w:val="16"/>
    </w:rPr>
  </w:style>
  <w:style w:type="character" w:customStyle="1" w:styleId="Char2">
    <w:name w:val="Σώμα κείμενου με εσοχή Char"/>
    <w:basedOn w:val="a0"/>
    <w:link w:val="a8"/>
    <w:rsid w:val="000D0A85"/>
    <w:rPr>
      <w:rFonts w:ascii="Arial Narrow" w:hAnsi="Arial Narrow"/>
      <w:sz w:val="16"/>
      <w:szCs w:val="16"/>
    </w:rPr>
  </w:style>
  <w:style w:type="character" w:customStyle="1" w:styleId="Char3">
    <w:name w:val="Σώμα κειμένου Char"/>
    <w:basedOn w:val="a0"/>
    <w:link w:val="a9"/>
    <w:rsid w:val="000D0A85"/>
    <w:rPr>
      <w:sz w:val="24"/>
      <w:szCs w:val="24"/>
    </w:rPr>
  </w:style>
  <w:style w:type="character" w:customStyle="1" w:styleId="Char4">
    <w:name w:val="Κείμενο υποσημείωσης Char"/>
    <w:basedOn w:val="a0"/>
    <w:link w:val="aa"/>
    <w:semiHidden/>
    <w:rsid w:val="000D0A85"/>
    <w:rPr>
      <w:lang w:val="en-GB" w:eastAsia="en-US"/>
    </w:rPr>
  </w:style>
  <w:style w:type="character" w:customStyle="1" w:styleId="3Char0">
    <w:name w:val="Σώμα κείμενου με εσοχή 3 Char"/>
    <w:basedOn w:val="a0"/>
    <w:link w:val="30"/>
    <w:rsid w:val="000D0A85"/>
    <w:rPr>
      <w:sz w:val="16"/>
      <w:szCs w:val="16"/>
    </w:rPr>
  </w:style>
  <w:style w:type="character" w:customStyle="1" w:styleId="Char5">
    <w:name w:val="Κείμενο σχολίου Char"/>
    <w:basedOn w:val="a0"/>
    <w:link w:val="ad"/>
    <w:semiHidden/>
    <w:rsid w:val="000D0A85"/>
  </w:style>
  <w:style w:type="character" w:customStyle="1" w:styleId="Char6">
    <w:name w:val="Θέμα σχολίου Char"/>
    <w:basedOn w:val="Char5"/>
    <w:link w:val="ae"/>
    <w:semiHidden/>
    <w:rsid w:val="000D0A85"/>
    <w:rPr>
      <w:b/>
      <w:bCs/>
    </w:rPr>
  </w:style>
  <w:style w:type="paragraph" w:styleId="af">
    <w:name w:val="List Paragraph"/>
    <w:basedOn w:val="a"/>
    <w:uiPriority w:val="34"/>
    <w:qFormat/>
    <w:rsid w:val="00B14D84"/>
    <w:pPr>
      <w:ind w:left="720"/>
      <w:contextualSpacing/>
    </w:pPr>
  </w:style>
</w:styles>
</file>

<file path=word/webSettings.xml><?xml version="1.0" encoding="utf-8"?>
<w:webSettings xmlns:r="http://schemas.openxmlformats.org/officeDocument/2006/relationships" xmlns:w="http://schemas.openxmlformats.org/wordprocessingml/2006/main">
  <w:divs>
    <w:div w:id="179634313">
      <w:bodyDiv w:val="1"/>
      <w:marLeft w:val="0"/>
      <w:marRight w:val="0"/>
      <w:marTop w:val="0"/>
      <w:marBottom w:val="0"/>
      <w:divBdr>
        <w:top w:val="none" w:sz="0" w:space="0" w:color="auto"/>
        <w:left w:val="none" w:sz="0" w:space="0" w:color="auto"/>
        <w:bottom w:val="none" w:sz="0" w:space="0" w:color="auto"/>
        <w:right w:val="none" w:sz="0" w:space="0" w:color="auto"/>
      </w:divBdr>
    </w:div>
    <w:div w:id="183635223">
      <w:bodyDiv w:val="1"/>
      <w:marLeft w:val="0"/>
      <w:marRight w:val="0"/>
      <w:marTop w:val="0"/>
      <w:marBottom w:val="0"/>
      <w:divBdr>
        <w:top w:val="none" w:sz="0" w:space="0" w:color="auto"/>
        <w:left w:val="none" w:sz="0" w:space="0" w:color="auto"/>
        <w:bottom w:val="none" w:sz="0" w:space="0" w:color="auto"/>
        <w:right w:val="none" w:sz="0" w:space="0" w:color="auto"/>
      </w:divBdr>
    </w:div>
    <w:div w:id="207765354">
      <w:bodyDiv w:val="1"/>
      <w:marLeft w:val="0"/>
      <w:marRight w:val="0"/>
      <w:marTop w:val="0"/>
      <w:marBottom w:val="0"/>
      <w:divBdr>
        <w:top w:val="none" w:sz="0" w:space="0" w:color="auto"/>
        <w:left w:val="none" w:sz="0" w:space="0" w:color="auto"/>
        <w:bottom w:val="none" w:sz="0" w:space="0" w:color="auto"/>
        <w:right w:val="none" w:sz="0" w:space="0" w:color="auto"/>
      </w:divBdr>
    </w:div>
    <w:div w:id="427703205">
      <w:bodyDiv w:val="1"/>
      <w:marLeft w:val="0"/>
      <w:marRight w:val="0"/>
      <w:marTop w:val="0"/>
      <w:marBottom w:val="0"/>
      <w:divBdr>
        <w:top w:val="none" w:sz="0" w:space="0" w:color="auto"/>
        <w:left w:val="none" w:sz="0" w:space="0" w:color="auto"/>
        <w:bottom w:val="none" w:sz="0" w:space="0" w:color="auto"/>
        <w:right w:val="none" w:sz="0" w:space="0" w:color="auto"/>
      </w:divBdr>
    </w:div>
    <w:div w:id="532233174">
      <w:bodyDiv w:val="1"/>
      <w:marLeft w:val="0"/>
      <w:marRight w:val="0"/>
      <w:marTop w:val="0"/>
      <w:marBottom w:val="0"/>
      <w:divBdr>
        <w:top w:val="none" w:sz="0" w:space="0" w:color="auto"/>
        <w:left w:val="none" w:sz="0" w:space="0" w:color="auto"/>
        <w:bottom w:val="none" w:sz="0" w:space="0" w:color="auto"/>
        <w:right w:val="none" w:sz="0" w:space="0" w:color="auto"/>
      </w:divBdr>
    </w:div>
    <w:div w:id="610867561">
      <w:bodyDiv w:val="1"/>
      <w:marLeft w:val="0"/>
      <w:marRight w:val="0"/>
      <w:marTop w:val="0"/>
      <w:marBottom w:val="0"/>
      <w:divBdr>
        <w:top w:val="none" w:sz="0" w:space="0" w:color="auto"/>
        <w:left w:val="none" w:sz="0" w:space="0" w:color="auto"/>
        <w:bottom w:val="none" w:sz="0" w:space="0" w:color="auto"/>
        <w:right w:val="none" w:sz="0" w:space="0" w:color="auto"/>
      </w:divBdr>
    </w:div>
    <w:div w:id="644241699">
      <w:bodyDiv w:val="1"/>
      <w:marLeft w:val="0"/>
      <w:marRight w:val="0"/>
      <w:marTop w:val="0"/>
      <w:marBottom w:val="0"/>
      <w:divBdr>
        <w:top w:val="none" w:sz="0" w:space="0" w:color="auto"/>
        <w:left w:val="none" w:sz="0" w:space="0" w:color="auto"/>
        <w:bottom w:val="none" w:sz="0" w:space="0" w:color="auto"/>
        <w:right w:val="none" w:sz="0" w:space="0" w:color="auto"/>
      </w:divBdr>
    </w:div>
    <w:div w:id="773788644">
      <w:bodyDiv w:val="1"/>
      <w:marLeft w:val="0"/>
      <w:marRight w:val="0"/>
      <w:marTop w:val="0"/>
      <w:marBottom w:val="0"/>
      <w:divBdr>
        <w:top w:val="none" w:sz="0" w:space="0" w:color="auto"/>
        <w:left w:val="none" w:sz="0" w:space="0" w:color="auto"/>
        <w:bottom w:val="none" w:sz="0" w:space="0" w:color="auto"/>
        <w:right w:val="none" w:sz="0" w:space="0" w:color="auto"/>
      </w:divBdr>
    </w:div>
    <w:div w:id="809833804">
      <w:bodyDiv w:val="1"/>
      <w:marLeft w:val="0"/>
      <w:marRight w:val="0"/>
      <w:marTop w:val="0"/>
      <w:marBottom w:val="0"/>
      <w:divBdr>
        <w:top w:val="none" w:sz="0" w:space="0" w:color="auto"/>
        <w:left w:val="none" w:sz="0" w:space="0" w:color="auto"/>
        <w:bottom w:val="none" w:sz="0" w:space="0" w:color="auto"/>
        <w:right w:val="none" w:sz="0" w:space="0" w:color="auto"/>
      </w:divBdr>
    </w:div>
    <w:div w:id="936643766">
      <w:bodyDiv w:val="1"/>
      <w:marLeft w:val="0"/>
      <w:marRight w:val="0"/>
      <w:marTop w:val="0"/>
      <w:marBottom w:val="0"/>
      <w:divBdr>
        <w:top w:val="none" w:sz="0" w:space="0" w:color="auto"/>
        <w:left w:val="none" w:sz="0" w:space="0" w:color="auto"/>
        <w:bottom w:val="none" w:sz="0" w:space="0" w:color="auto"/>
        <w:right w:val="none" w:sz="0" w:space="0" w:color="auto"/>
      </w:divBdr>
    </w:div>
    <w:div w:id="970284907">
      <w:bodyDiv w:val="1"/>
      <w:marLeft w:val="0"/>
      <w:marRight w:val="0"/>
      <w:marTop w:val="0"/>
      <w:marBottom w:val="0"/>
      <w:divBdr>
        <w:top w:val="none" w:sz="0" w:space="0" w:color="auto"/>
        <w:left w:val="none" w:sz="0" w:space="0" w:color="auto"/>
        <w:bottom w:val="none" w:sz="0" w:space="0" w:color="auto"/>
        <w:right w:val="none" w:sz="0" w:space="0" w:color="auto"/>
      </w:divBdr>
    </w:div>
    <w:div w:id="1258367766">
      <w:bodyDiv w:val="1"/>
      <w:marLeft w:val="0"/>
      <w:marRight w:val="0"/>
      <w:marTop w:val="0"/>
      <w:marBottom w:val="0"/>
      <w:divBdr>
        <w:top w:val="none" w:sz="0" w:space="0" w:color="auto"/>
        <w:left w:val="none" w:sz="0" w:space="0" w:color="auto"/>
        <w:bottom w:val="none" w:sz="0" w:space="0" w:color="auto"/>
        <w:right w:val="none" w:sz="0" w:space="0" w:color="auto"/>
      </w:divBdr>
    </w:div>
    <w:div w:id="1264460739">
      <w:bodyDiv w:val="1"/>
      <w:marLeft w:val="0"/>
      <w:marRight w:val="0"/>
      <w:marTop w:val="0"/>
      <w:marBottom w:val="0"/>
      <w:divBdr>
        <w:top w:val="none" w:sz="0" w:space="0" w:color="auto"/>
        <w:left w:val="none" w:sz="0" w:space="0" w:color="auto"/>
        <w:bottom w:val="none" w:sz="0" w:space="0" w:color="auto"/>
        <w:right w:val="none" w:sz="0" w:space="0" w:color="auto"/>
      </w:divBdr>
    </w:div>
    <w:div w:id="1297686385">
      <w:bodyDiv w:val="1"/>
      <w:marLeft w:val="0"/>
      <w:marRight w:val="0"/>
      <w:marTop w:val="0"/>
      <w:marBottom w:val="0"/>
      <w:divBdr>
        <w:top w:val="none" w:sz="0" w:space="0" w:color="auto"/>
        <w:left w:val="none" w:sz="0" w:space="0" w:color="auto"/>
        <w:bottom w:val="none" w:sz="0" w:space="0" w:color="auto"/>
        <w:right w:val="none" w:sz="0" w:space="0" w:color="auto"/>
      </w:divBdr>
    </w:div>
    <w:div w:id="1604072080">
      <w:bodyDiv w:val="1"/>
      <w:marLeft w:val="0"/>
      <w:marRight w:val="0"/>
      <w:marTop w:val="0"/>
      <w:marBottom w:val="0"/>
      <w:divBdr>
        <w:top w:val="none" w:sz="0" w:space="0" w:color="auto"/>
        <w:left w:val="none" w:sz="0" w:space="0" w:color="auto"/>
        <w:bottom w:val="none" w:sz="0" w:space="0" w:color="auto"/>
        <w:right w:val="none" w:sz="0" w:space="0" w:color="auto"/>
      </w:divBdr>
    </w:div>
    <w:div w:id="1651250697">
      <w:bodyDiv w:val="1"/>
      <w:marLeft w:val="0"/>
      <w:marRight w:val="0"/>
      <w:marTop w:val="0"/>
      <w:marBottom w:val="0"/>
      <w:divBdr>
        <w:top w:val="none" w:sz="0" w:space="0" w:color="auto"/>
        <w:left w:val="none" w:sz="0" w:space="0" w:color="auto"/>
        <w:bottom w:val="none" w:sz="0" w:space="0" w:color="auto"/>
        <w:right w:val="none" w:sz="0" w:space="0" w:color="auto"/>
      </w:divBdr>
    </w:div>
    <w:div w:id="1721441617">
      <w:bodyDiv w:val="1"/>
      <w:marLeft w:val="0"/>
      <w:marRight w:val="0"/>
      <w:marTop w:val="0"/>
      <w:marBottom w:val="0"/>
      <w:divBdr>
        <w:top w:val="none" w:sz="0" w:space="0" w:color="auto"/>
        <w:left w:val="none" w:sz="0" w:space="0" w:color="auto"/>
        <w:bottom w:val="none" w:sz="0" w:space="0" w:color="auto"/>
        <w:right w:val="none" w:sz="0" w:space="0" w:color="auto"/>
      </w:divBdr>
    </w:div>
    <w:div w:id="1782188048">
      <w:bodyDiv w:val="1"/>
      <w:marLeft w:val="0"/>
      <w:marRight w:val="0"/>
      <w:marTop w:val="0"/>
      <w:marBottom w:val="0"/>
      <w:divBdr>
        <w:top w:val="none" w:sz="0" w:space="0" w:color="auto"/>
        <w:left w:val="none" w:sz="0" w:space="0" w:color="auto"/>
        <w:bottom w:val="none" w:sz="0" w:space="0" w:color="auto"/>
        <w:right w:val="none" w:sz="0" w:space="0" w:color="auto"/>
      </w:divBdr>
    </w:div>
    <w:div w:id="1789082422">
      <w:bodyDiv w:val="1"/>
      <w:marLeft w:val="0"/>
      <w:marRight w:val="0"/>
      <w:marTop w:val="0"/>
      <w:marBottom w:val="0"/>
      <w:divBdr>
        <w:top w:val="none" w:sz="0" w:space="0" w:color="auto"/>
        <w:left w:val="none" w:sz="0" w:space="0" w:color="auto"/>
        <w:bottom w:val="none" w:sz="0" w:space="0" w:color="auto"/>
        <w:right w:val="none" w:sz="0" w:space="0" w:color="auto"/>
      </w:divBdr>
    </w:div>
    <w:div w:id="1826582240">
      <w:bodyDiv w:val="1"/>
      <w:marLeft w:val="0"/>
      <w:marRight w:val="0"/>
      <w:marTop w:val="0"/>
      <w:marBottom w:val="0"/>
      <w:divBdr>
        <w:top w:val="none" w:sz="0" w:space="0" w:color="auto"/>
        <w:left w:val="none" w:sz="0" w:space="0" w:color="auto"/>
        <w:bottom w:val="none" w:sz="0" w:space="0" w:color="auto"/>
        <w:right w:val="none" w:sz="0" w:space="0" w:color="auto"/>
      </w:divBdr>
    </w:div>
    <w:div w:id="212318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ristof\Application%20Data\Microsoft\&#928;&#961;&#972;&#964;&#965;&#960;&#945;\EIS_2005.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_____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_____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_________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6.9358540227501861E-2"/>
          <c:y val="8.7480925349447597E-2"/>
          <c:w val="0.90957428322190659"/>
          <c:h val="0.71548230889743025"/>
        </c:manualLayout>
      </c:layout>
      <c:barChart>
        <c:barDir val="col"/>
        <c:grouping val="stacked"/>
        <c:ser>
          <c:idx val="0"/>
          <c:order val="0"/>
          <c:tx>
            <c:strRef>
              <c:f>'Diagramma 4-1'!$B$1</c:f>
              <c:strCache>
                <c:ptCount val="1"/>
                <c:pt idx="0">
                  <c:v>Έντοκα</c:v>
                </c:pt>
              </c:strCache>
            </c:strRef>
          </c:tx>
          <c:spPr>
            <a:solidFill>
              <a:srgbClr val="FF6600"/>
            </a:solidFill>
            <a:ln w="12700">
              <a:solidFill>
                <a:srgbClr val="000000"/>
              </a:solidFill>
              <a:prstDash val="solid"/>
            </a:ln>
          </c:spPr>
          <c:dPt>
            <c:idx val="0"/>
            <c:spPr>
              <a:solidFill>
                <a:srgbClr val="FF6600"/>
              </a:solidFill>
              <a:ln w="12700">
                <a:noFill/>
                <a:prstDash val="solid"/>
              </a:ln>
            </c:spPr>
          </c:dPt>
          <c:dPt>
            <c:idx val="1"/>
            <c:spPr>
              <a:solidFill>
                <a:srgbClr val="FF6600"/>
              </a:solidFill>
              <a:ln w="12700">
                <a:noFill/>
                <a:prstDash val="solid"/>
              </a:ln>
            </c:spPr>
          </c:dPt>
          <c:cat>
            <c:strRef>
              <c:f>'Diagramma 4-1'!$A$2:$A$53</c:f>
              <c:strCache>
                <c:ptCount val="52"/>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pt idx="28">
                  <c:v>47</c:v>
                </c:pt>
                <c:pt idx="29">
                  <c:v>48</c:v>
                </c:pt>
                <c:pt idx="30">
                  <c:v>49</c:v>
                </c:pt>
                <c:pt idx="31">
                  <c:v>50</c:v>
                </c:pt>
                <c:pt idx="32">
                  <c:v>51</c:v>
                </c:pt>
                <c:pt idx="33">
                  <c:v>52</c:v>
                </c:pt>
                <c:pt idx="34">
                  <c:v>53</c:v>
                </c:pt>
                <c:pt idx="35">
                  <c:v>54</c:v>
                </c:pt>
                <c:pt idx="36">
                  <c:v>55</c:v>
                </c:pt>
                <c:pt idx="37">
                  <c:v>56</c:v>
                </c:pt>
                <c:pt idx="38">
                  <c:v>57</c:v>
                </c:pt>
                <c:pt idx="39">
                  <c:v>58</c:v>
                </c:pt>
                <c:pt idx="40">
                  <c:v>59</c:v>
                </c:pt>
                <c:pt idx="41">
                  <c:v>60</c:v>
                </c:pt>
                <c:pt idx="42">
                  <c:v>61</c:v>
                </c:pt>
                <c:pt idx="43">
                  <c:v>62</c:v>
                </c:pt>
                <c:pt idx="44">
                  <c:v>63</c:v>
                </c:pt>
                <c:pt idx="45">
                  <c:v>64</c:v>
                </c:pt>
                <c:pt idx="46">
                  <c:v>65</c:v>
                </c:pt>
                <c:pt idx="47">
                  <c:v>66</c:v>
                </c:pt>
                <c:pt idx="48">
                  <c:v>67</c:v>
                </c:pt>
                <c:pt idx="49">
                  <c:v>68</c:v>
                </c:pt>
                <c:pt idx="50">
                  <c:v>69</c:v>
                </c:pt>
                <c:pt idx="51">
                  <c:v>70</c:v>
                </c:pt>
              </c:strCache>
            </c:strRef>
          </c:cat>
          <c:val>
            <c:numRef>
              <c:f>'Diagramma 4-1'!$B$2:$B$3</c:f>
              <c:numCache>
                <c:formatCode>#,##0.0</c:formatCode>
                <c:ptCount val="2"/>
                <c:pt idx="0">
                  <c:v>7819.2790000000005</c:v>
                </c:pt>
                <c:pt idx="1">
                  <c:v>7411.9839999999995</c:v>
                </c:pt>
              </c:numCache>
            </c:numRef>
          </c:val>
        </c:ser>
        <c:ser>
          <c:idx val="3"/>
          <c:order val="1"/>
          <c:tx>
            <c:strRef>
              <c:f>'Diagramma 4-1'!$C$1</c:f>
              <c:strCache>
                <c:ptCount val="1"/>
                <c:pt idx="0">
                  <c:v>Repos</c:v>
                </c:pt>
              </c:strCache>
            </c:strRef>
          </c:tx>
          <c:spPr>
            <a:solidFill>
              <a:schemeClr val="accent6">
                <a:lumMod val="60000"/>
                <a:lumOff val="40000"/>
              </a:schemeClr>
            </a:solidFill>
          </c:spPr>
          <c:cat>
            <c:strRef>
              <c:f>'Diagramma 4-1'!$A$2:$A$53</c:f>
              <c:strCache>
                <c:ptCount val="52"/>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pt idx="28">
                  <c:v>47</c:v>
                </c:pt>
                <c:pt idx="29">
                  <c:v>48</c:v>
                </c:pt>
                <c:pt idx="30">
                  <c:v>49</c:v>
                </c:pt>
                <c:pt idx="31">
                  <c:v>50</c:v>
                </c:pt>
                <c:pt idx="32">
                  <c:v>51</c:v>
                </c:pt>
                <c:pt idx="33">
                  <c:v>52</c:v>
                </c:pt>
                <c:pt idx="34">
                  <c:v>53</c:v>
                </c:pt>
                <c:pt idx="35">
                  <c:v>54</c:v>
                </c:pt>
                <c:pt idx="36">
                  <c:v>55</c:v>
                </c:pt>
                <c:pt idx="37">
                  <c:v>56</c:v>
                </c:pt>
                <c:pt idx="38">
                  <c:v>57</c:v>
                </c:pt>
                <c:pt idx="39">
                  <c:v>58</c:v>
                </c:pt>
                <c:pt idx="40">
                  <c:v>59</c:v>
                </c:pt>
                <c:pt idx="41">
                  <c:v>60</c:v>
                </c:pt>
                <c:pt idx="42">
                  <c:v>61</c:v>
                </c:pt>
                <c:pt idx="43">
                  <c:v>62</c:v>
                </c:pt>
                <c:pt idx="44">
                  <c:v>63</c:v>
                </c:pt>
                <c:pt idx="45">
                  <c:v>64</c:v>
                </c:pt>
                <c:pt idx="46">
                  <c:v>65</c:v>
                </c:pt>
                <c:pt idx="47">
                  <c:v>66</c:v>
                </c:pt>
                <c:pt idx="48">
                  <c:v>67</c:v>
                </c:pt>
                <c:pt idx="49">
                  <c:v>68</c:v>
                </c:pt>
                <c:pt idx="50">
                  <c:v>69</c:v>
                </c:pt>
                <c:pt idx="51">
                  <c:v>70</c:v>
                </c:pt>
              </c:strCache>
            </c:strRef>
          </c:cat>
          <c:val>
            <c:numRef>
              <c:f>'Diagramma 4-1'!$C$2</c:f>
              <c:numCache>
                <c:formatCode>#,##0.0</c:formatCode>
                <c:ptCount val="1"/>
                <c:pt idx="0">
                  <c:v>21072.2</c:v>
                </c:pt>
              </c:numCache>
            </c:numRef>
          </c:val>
        </c:ser>
        <c:ser>
          <c:idx val="1"/>
          <c:order val="2"/>
          <c:tx>
            <c:strRef>
              <c:f>'Diagramma 4-1'!$D$1</c:f>
              <c:strCache>
                <c:ptCount val="1"/>
                <c:pt idx="0">
                  <c:v>Ομόλογα</c:v>
                </c:pt>
              </c:strCache>
            </c:strRef>
          </c:tx>
          <c:spPr>
            <a:solidFill>
              <a:srgbClr val="CCFFCC"/>
            </a:solidFill>
          </c:spPr>
          <c:cat>
            <c:strRef>
              <c:f>'Diagramma 4-1'!$A$2:$A$53</c:f>
              <c:strCache>
                <c:ptCount val="52"/>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pt idx="28">
                  <c:v>47</c:v>
                </c:pt>
                <c:pt idx="29">
                  <c:v>48</c:v>
                </c:pt>
                <c:pt idx="30">
                  <c:v>49</c:v>
                </c:pt>
                <c:pt idx="31">
                  <c:v>50</c:v>
                </c:pt>
                <c:pt idx="32">
                  <c:v>51</c:v>
                </c:pt>
                <c:pt idx="33">
                  <c:v>52</c:v>
                </c:pt>
                <c:pt idx="34">
                  <c:v>53</c:v>
                </c:pt>
                <c:pt idx="35">
                  <c:v>54</c:v>
                </c:pt>
                <c:pt idx="36">
                  <c:v>55</c:v>
                </c:pt>
                <c:pt idx="37">
                  <c:v>56</c:v>
                </c:pt>
                <c:pt idx="38">
                  <c:v>57</c:v>
                </c:pt>
                <c:pt idx="39">
                  <c:v>58</c:v>
                </c:pt>
                <c:pt idx="40">
                  <c:v>59</c:v>
                </c:pt>
                <c:pt idx="41">
                  <c:v>60</c:v>
                </c:pt>
                <c:pt idx="42">
                  <c:v>61</c:v>
                </c:pt>
                <c:pt idx="43">
                  <c:v>62</c:v>
                </c:pt>
                <c:pt idx="44">
                  <c:v>63</c:v>
                </c:pt>
                <c:pt idx="45">
                  <c:v>64</c:v>
                </c:pt>
                <c:pt idx="46">
                  <c:v>65</c:v>
                </c:pt>
                <c:pt idx="47">
                  <c:v>66</c:v>
                </c:pt>
                <c:pt idx="48">
                  <c:v>67</c:v>
                </c:pt>
                <c:pt idx="49">
                  <c:v>68</c:v>
                </c:pt>
                <c:pt idx="50">
                  <c:v>69</c:v>
                </c:pt>
                <c:pt idx="51">
                  <c:v>70</c:v>
                </c:pt>
              </c:strCache>
            </c:strRef>
          </c:cat>
          <c:val>
            <c:numRef>
              <c:f>'Diagramma 4-1'!$D$2:$D$53</c:f>
              <c:numCache>
                <c:formatCode>#,##0.0</c:formatCode>
                <c:ptCount val="52"/>
                <c:pt idx="0">
                  <c:v>2017.5197320000002</c:v>
                </c:pt>
                <c:pt idx="1">
                  <c:v>1366.35</c:v>
                </c:pt>
                <c:pt idx="2">
                  <c:v>503.75299999999999</c:v>
                </c:pt>
                <c:pt idx="3">
                  <c:v>4312.2088489999987</c:v>
                </c:pt>
                <c:pt idx="4">
                  <c:v>5156.6584470000007</c:v>
                </c:pt>
                <c:pt idx="5">
                  <c:v>4250.8775759999999</c:v>
                </c:pt>
                <c:pt idx="6">
                  <c:v>4449.6638260000054</c:v>
                </c:pt>
                <c:pt idx="7">
                  <c:v>5748.9981530000005</c:v>
                </c:pt>
                <c:pt idx="8">
                  <c:v>160.62135199999989</c:v>
                </c:pt>
                <c:pt idx="9">
                  <c:v>6345.9913620000007</c:v>
                </c:pt>
                <c:pt idx="10">
                  <c:v>2664.8028940000004</c:v>
                </c:pt>
                <c:pt idx="11">
                  <c:v>255.18269300000065</c:v>
                </c:pt>
                <c:pt idx="12">
                  <c:v>129.00724100000065</c:v>
                </c:pt>
                <c:pt idx="13">
                  <c:v>126.19268299999995</c:v>
                </c:pt>
                <c:pt idx="14">
                  <c:v>6238.1235720000004</c:v>
                </c:pt>
                <c:pt idx="15">
                  <c:v>468.3356060000001</c:v>
                </c:pt>
                <c:pt idx="16">
                  <c:v>144.42944100000062</c:v>
                </c:pt>
                <c:pt idx="17">
                  <c:v>166.21167599999907</c:v>
                </c:pt>
                <c:pt idx="18">
                  <c:v>5083.6611550000034</c:v>
                </c:pt>
                <c:pt idx="19">
                  <c:v>146.94108700000001</c:v>
                </c:pt>
                <c:pt idx="20">
                  <c:v>135.11561199999952</c:v>
                </c:pt>
                <c:pt idx="21">
                  <c:v>141.909637</c:v>
                </c:pt>
                <c:pt idx="22">
                  <c:v>136.78872000000001</c:v>
                </c:pt>
                <c:pt idx="23">
                  <c:v>4767.3565960000233</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1195.8200000000004</c:v>
                </c:pt>
                <c:pt idx="39">
                  <c:v>0</c:v>
                </c:pt>
                <c:pt idx="40">
                  <c:v>0</c:v>
                </c:pt>
                <c:pt idx="41">
                  <c:v>0</c:v>
                </c:pt>
                <c:pt idx="42">
                  <c:v>0</c:v>
                </c:pt>
                <c:pt idx="43">
                  <c:v>0</c:v>
                </c:pt>
                <c:pt idx="44">
                  <c:v>0</c:v>
                </c:pt>
                <c:pt idx="45">
                  <c:v>0</c:v>
                </c:pt>
                <c:pt idx="46">
                  <c:v>0</c:v>
                </c:pt>
                <c:pt idx="47">
                  <c:v>0</c:v>
                </c:pt>
                <c:pt idx="48">
                  <c:v>0</c:v>
                </c:pt>
                <c:pt idx="49">
                  <c:v>0</c:v>
                </c:pt>
                <c:pt idx="50">
                  <c:v>0</c:v>
                </c:pt>
                <c:pt idx="51">
                  <c:v>0</c:v>
                </c:pt>
              </c:numCache>
            </c:numRef>
          </c:val>
        </c:ser>
        <c:ser>
          <c:idx val="2"/>
          <c:order val="3"/>
          <c:tx>
            <c:strRef>
              <c:f>'Diagramma 4-1'!$E$1</c:f>
              <c:strCache>
                <c:ptCount val="1"/>
                <c:pt idx="0">
                  <c:v>Δάνεια</c:v>
                </c:pt>
              </c:strCache>
            </c:strRef>
          </c:tx>
          <c:spPr>
            <a:solidFill>
              <a:srgbClr val="0070C0"/>
            </a:solidFill>
          </c:spPr>
          <c:cat>
            <c:strRef>
              <c:f>'Diagramma 4-1'!$A$2:$A$53</c:f>
              <c:strCache>
                <c:ptCount val="52"/>
                <c:pt idx="0">
                  <c:v>19</c:v>
                </c:pt>
                <c:pt idx="1">
                  <c:v>20</c:v>
                </c:pt>
                <c:pt idx="2">
                  <c:v>21</c:v>
                </c:pt>
                <c:pt idx="3">
                  <c:v>22</c:v>
                </c:pt>
                <c:pt idx="4">
                  <c:v>23</c:v>
                </c:pt>
                <c:pt idx="5">
                  <c:v>24</c:v>
                </c:pt>
                <c:pt idx="6">
                  <c:v>25</c:v>
                </c:pt>
                <c:pt idx="7">
                  <c:v>26</c:v>
                </c:pt>
                <c:pt idx="8">
                  <c:v>27</c:v>
                </c:pt>
                <c:pt idx="9">
                  <c:v>28</c:v>
                </c:pt>
                <c:pt idx="10">
                  <c:v>29</c:v>
                </c:pt>
                <c:pt idx="11">
                  <c:v>30</c:v>
                </c:pt>
                <c:pt idx="12">
                  <c:v>31</c:v>
                </c:pt>
                <c:pt idx="13">
                  <c:v>32</c:v>
                </c:pt>
                <c:pt idx="14">
                  <c:v>33</c:v>
                </c:pt>
                <c:pt idx="15">
                  <c:v>34</c:v>
                </c:pt>
                <c:pt idx="16">
                  <c:v>35</c:v>
                </c:pt>
                <c:pt idx="17">
                  <c:v>36</c:v>
                </c:pt>
                <c:pt idx="18">
                  <c:v>37</c:v>
                </c:pt>
                <c:pt idx="19">
                  <c:v>38</c:v>
                </c:pt>
                <c:pt idx="20">
                  <c:v>39</c:v>
                </c:pt>
                <c:pt idx="21">
                  <c:v>40</c:v>
                </c:pt>
                <c:pt idx="22">
                  <c:v>41</c:v>
                </c:pt>
                <c:pt idx="23">
                  <c:v>42</c:v>
                </c:pt>
                <c:pt idx="24">
                  <c:v>43</c:v>
                </c:pt>
                <c:pt idx="25">
                  <c:v>44</c:v>
                </c:pt>
                <c:pt idx="26">
                  <c:v>45</c:v>
                </c:pt>
                <c:pt idx="27">
                  <c:v>46</c:v>
                </c:pt>
                <c:pt idx="28">
                  <c:v>47</c:v>
                </c:pt>
                <c:pt idx="29">
                  <c:v>48</c:v>
                </c:pt>
                <c:pt idx="30">
                  <c:v>49</c:v>
                </c:pt>
                <c:pt idx="31">
                  <c:v>50</c:v>
                </c:pt>
                <c:pt idx="32">
                  <c:v>51</c:v>
                </c:pt>
                <c:pt idx="33">
                  <c:v>52</c:v>
                </c:pt>
                <c:pt idx="34">
                  <c:v>53</c:v>
                </c:pt>
                <c:pt idx="35">
                  <c:v>54</c:v>
                </c:pt>
                <c:pt idx="36">
                  <c:v>55</c:v>
                </c:pt>
                <c:pt idx="37">
                  <c:v>56</c:v>
                </c:pt>
                <c:pt idx="38">
                  <c:v>57</c:v>
                </c:pt>
                <c:pt idx="39">
                  <c:v>58</c:v>
                </c:pt>
                <c:pt idx="40">
                  <c:v>59</c:v>
                </c:pt>
                <c:pt idx="41">
                  <c:v>60</c:v>
                </c:pt>
                <c:pt idx="42">
                  <c:v>61</c:v>
                </c:pt>
                <c:pt idx="43">
                  <c:v>62</c:v>
                </c:pt>
                <c:pt idx="44">
                  <c:v>63</c:v>
                </c:pt>
                <c:pt idx="45">
                  <c:v>64</c:v>
                </c:pt>
                <c:pt idx="46">
                  <c:v>65</c:v>
                </c:pt>
                <c:pt idx="47">
                  <c:v>66</c:v>
                </c:pt>
                <c:pt idx="48">
                  <c:v>67</c:v>
                </c:pt>
                <c:pt idx="49">
                  <c:v>68</c:v>
                </c:pt>
                <c:pt idx="50">
                  <c:v>69</c:v>
                </c:pt>
                <c:pt idx="51">
                  <c:v>70</c:v>
                </c:pt>
              </c:strCache>
            </c:strRef>
          </c:cat>
          <c:val>
            <c:numRef>
              <c:f>'Diagramma 4-1'!$E$2:$E$53</c:f>
              <c:numCache>
                <c:formatCode>#,##0.0</c:formatCode>
                <c:ptCount val="52"/>
                <c:pt idx="0">
                  <c:v>491.5</c:v>
                </c:pt>
                <c:pt idx="1">
                  <c:v>3555.4414087115074</c:v>
                </c:pt>
                <c:pt idx="2">
                  <c:v>4966.278408701507</c:v>
                </c:pt>
                <c:pt idx="3">
                  <c:v>5405.238932961136</c:v>
                </c:pt>
                <c:pt idx="4">
                  <c:v>6598.8650255929379</c:v>
                </c:pt>
                <c:pt idx="5">
                  <c:v>5186.8850454089934</c:v>
                </c:pt>
                <c:pt idx="6">
                  <c:v>4797.1961590591973</c:v>
                </c:pt>
                <c:pt idx="7">
                  <c:v>4798.1561590591664</c:v>
                </c:pt>
                <c:pt idx="8">
                  <c:v>5762.1661590592012</c:v>
                </c:pt>
                <c:pt idx="9">
                  <c:v>5202.4769794718713</c:v>
                </c:pt>
                <c:pt idx="10">
                  <c:v>4658.3869794718994</c:v>
                </c:pt>
                <c:pt idx="11">
                  <c:v>5219.816979471876</c:v>
                </c:pt>
                <c:pt idx="12">
                  <c:v>4957.6669794719028</c:v>
                </c:pt>
                <c:pt idx="13">
                  <c:v>5255.9970244718734</c:v>
                </c:pt>
                <c:pt idx="14">
                  <c:v>4951.8319946718793</c:v>
                </c:pt>
                <c:pt idx="15">
                  <c:v>5641.9804005718433</c:v>
                </c:pt>
                <c:pt idx="16">
                  <c:v>5653.383781631821</c:v>
                </c:pt>
                <c:pt idx="17">
                  <c:v>5658.6137816318442</c:v>
                </c:pt>
                <c:pt idx="18">
                  <c:v>5671.7537816318445</c:v>
                </c:pt>
                <c:pt idx="19">
                  <c:v>5361.9101636032001</c:v>
                </c:pt>
                <c:pt idx="20">
                  <c:v>5379.3101636032079</c:v>
                </c:pt>
                <c:pt idx="21">
                  <c:v>4690.4701636031541</c:v>
                </c:pt>
                <c:pt idx="22">
                  <c:v>3343.8501636032011</c:v>
                </c:pt>
                <c:pt idx="23">
                  <c:v>2784.2001636031782</c:v>
                </c:pt>
                <c:pt idx="24">
                  <c:v>3624.8878730000015</c:v>
                </c:pt>
                <c:pt idx="25">
                  <c:v>3696.2168979999988</c:v>
                </c:pt>
                <c:pt idx="26">
                  <c:v>3769.049094</c:v>
                </c:pt>
                <c:pt idx="27">
                  <c:v>3843.4498549999998</c:v>
                </c:pt>
                <c:pt idx="28">
                  <c:v>3919.4459399999992</c:v>
                </c:pt>
                <c:pt idx="29">
                  <c:v>3996.8855069999972</c:v>
                </c:pt>
                <c:pt idx="30">
                  <c:v>4076.1581605899992</c:v>
                </c:pt>
                <c:pt idx="31">
                  <c:v>4160.7449949999991</c:v>
                </c:pt>
                <c:pt idx="32">
                  <c:v>6216.6264070000034</c:v>
                </c:pt>
                <c:pt idx="33">
                  <c:v>6333.5140880000008</c:v>
                </c:pt>
                <c:pt idx="34">
                  <c:v>6443.1283979999971</c:v>
                </c:pt>
                <c:pt idx="35">
                  <c:v>6565.5511400000014</c:v>
                </c:pt>
                <c:pt idx="36">
                  <c:v>6690.7105620000002</c:v>
                </c:pt>
                <c:pt idx="37">
                  <c:v>6818.9554479999997</c:v>
                </c:pt>
                <c:pt idx="38">
                  <c:v>6950.2691800000002</c:v>
                </c:pt>
                <c:pt idx="39">
                  <c:v>7084.7438259999999</c:v>
                </c:pt>
                <c:pt idx="40">
                  <c:v>7214.8218706100024</c:v>
                </c:pt>
                <c:pt idx="41">
                  <c:v>7360.3640040000191</c:v>
                </c:pt>
                <c:pt idx="42">
                  <c:v>4071.5147759999995</c:v>
                </c:pt>
                <c:pt idx="43">
                  <c:v>4193.660219000024</c:v>
                </c:pt>
                <c:pt idx="44">
                  <c:v>4319.4700280000006</c:v>
                </c:pt>
                <c:pt idx="45">
                  <c:v>4449.0541270000003</c:v>
                </c:pt>
                <c:pt idx="46">
                  <c:v>4582.5257490000004</c:v>
                </c:pt>
                <c:pt idx="47">
                  <c:v>4720.0015230000054</c:v>
                </c:pt>
                <c:pt idx="48">
                  <c:v>4861.601569000024</c:v>
                </c:pt>
                <c:pt idx="49">
                  <c:v>5007.4496159999999</c:v>
                </c:pt>
                <c:pt idx="50">
                  <c:v>5157.6731030000001</c:v>
                </c:pt>
                <c:pt idx="51">
                  <c:v>5312.4033009999985</c:v>
                </c:pt>
              </c:numCache>
            </c:numRef>
          </c:val>
        </c:ser>
        <c:gapWidth val="20"/>
        <c:overlap val="100"/>
        <c:axId val="133210496"/>
        <c:axId val="133212032"/>
      </c:barChart>
      <c:catAx>
        <c:axId val="133210496"/>
        <c:scaling>
          <c:orientation val="minMax"/>
        </c:scaling>
        <c:axPos val="b"/>
        <c:numFmt formatCode="@" sourceLinked="1"/>
        <c:tickLblPos val="nextTo"/>
        <c:spPr>
          <a:ln w="3175">
            <a:solidFill>
              <a:srgbClr val="000000"/>
            </a:solidFill>
            <a:prstDash val="solid"/>
          </a:ln>
        </c:spPr>
        <c:txPr>
          <a:bodyPr rot="0" vert="horz"/>
          <a:lstStyle/>
          <a:p>
            <a:pPr>
              <a:defRPr sz="650" b="1" i="0" u="none" strike="noStrike" baseline="0">
                <a:solidFill>
                  <a:srgbClr val="000000"/>
                </a:solidFill>
                <a:latin typeface="Arial Narrow" pitchFamily="34" charset="0"/>
                <a:ea typeface="Times New Roman"/>
                <a:cs typeface="Times New Roman"/>
              </a:defRPr>
            </a:pPr>
            <a:endParaRPr lang="el-GR"/>
          </a:p>
        </c:txPr>
        <c:crossAx val="133212032"/>
        <c:crosses val="autoZero"/>
        <c:auto val="1"/>
        <c:lblAlgn val="ctr"/>
        <c:lblOffset val="100"/>
        <c:tickLblSkip val="1"/>
        <c:tickMarkSkip val="1"/>
      </c:catAx>
      <c:valAx>
        <c:axId val="133212032"/>
        <c:scaling>
          <c:orientation val="minMax"/>
          <c:max val="32000"/>
          <c:min val="0"/>
        </c:scaling>
        <c:axPos val="l"/>
        <c:numFmt formatCode="#,##0" sourceLinked="0"/>
        <c:tickLblPos val="nextTo"/>
        <c:spPr>
          <a:ln w="3175">
            <a:solidFill>
              <a:srgbClr val="000000"/>
            </a:solidFill>
            <a:prstDash val="solid"/>
          </a:ln>
        </c:spPr>
        <c:txPr>
          <a:bodyPr rot="0" vert="horz"/>
          <a:lstStyle/>
          <a:p>
            <a:pPr>
              <a:defRPr sz="700" b="1" i="0" u="none" strike="noStrike" baseline="0">
                <a:solidFill>
                  <a:srgbClr val="000000"/>
                </a:solidFill>
                <a:latin typeface="Arial Narrow" pitchFamily="34" charset="0"/>
                <a:ea typeface="Times New Roman"/>
                <a:cs typeface="Times New Roman"/>
              </a:defRPr>
            </a:pPr>
            <a:endParaRPr lang="el-GR"/>
          </a:p>
        </c:txPr>
        <c:crossAx val="133210496"/>
        <c:crosses val="autoZero"/>
        <c:crossBetween val="between"/>
        <c:majorUnit val="2000"/>
      </c:valAx>
      <c:spPr>
        <a:solidFill>
          <a:srgbClr val="FFFFFF"/>
        </a:solidFill>
        <a:ln w="25400">
          <a:noFill/>
        </a:ln>
      </c:spPr>
    </c:plotArea>
    <c:legend>
      <c:legendPos val="b"/>
      <c:layout>
        <c:manualLayout>
          <c:xMode val="edge"/>
          <c:yMode val="edge"/>
          <c:x val="0.31694768454802746"/>
          <c:y val="0.9083337953357925"/>
          <c:w val="0.37117586304577505"/>
          <c:h val="5.8333363003216412E-2"/>
        </c:manualLayout>
      </c:layout>
      <c:spPr>
        <a:solidFill>
          <a:srgbClr val="FFFFFF"/>
        </a:solidFill>
        <a:ln w="25400">
          <a:noFill/>
        </a:ln>
      </c:spPr>
      <c:txPr>
        <a:bodyPr/>
        <a:lstStyle/>
        <a:p>
          <a:pPr>
            <a:defRPr sz="800" b="1" i="0" u="none" strike="noStrike" baseline="0">
              <a:solidFill>
                <a:srgbClr val="000000"/>
              </a:solidFill>
              <a:latin typeface="Arial Narrow" pitchFamily="34" charset="0"/>
              <a:ea typeface="Times New Roman"/>
              <a:cs typeface="Times New Roman"/>
            </a:defRPr>
          </a:pPr>
          <a:endParaRPr lang="el-GR"/>
        </a:p>
      </c:txPr>
    </c:legend>
    <c:plotVisOnly val="1"/>
    <c:dispBlanksAs val="gap"/>
  </c:chart>
  <c:spPr>
    <a:solidFill>
      <a:srgbClr val="FFFFFF"/>
    </a:solidFill>
    <a:ln w="9525">
      <a:noFill/>
    </a:ln>
  </c:spPr>
  <c:txPr>
    <a:bodyPr/>
    <a:lstStyle/>
    <a:p>
      <a:pPr>
        <a:defRPr sz="1725" b="0" i="0" u="none" strike="noStrike" baseline="0">
          <a:solidFill>
            <a:srgbClr val="000000"/>
          </a:solidFill>
          <a:latin typeface="Times New Roman"/>
          <a:ea typeface="Times New Roman"/>
          <a:cs typeface="Times New Roman"/>
        </a:defRPr>
      </a:pPr>
      <a:endParaRPr lang="el-G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view3D>
      <c:perspective val="0"/>
    </c:view3D>
    <c:plotArea>
      <c:layout>
        <c:manualLayout>
          <c:layoutTarget val="inner"/>
          <c:xMode val="edge"/>
          <c:yMode val="edge"/>
          <c:x val="9.5495663526998065E-2"/>
          <c:y val="0.24749549378617039"/>
          <c:w val="0.6997863682987906"/>
          <c:h val="0.47836353287164585"/>
        </c:manualLayout>
      </c:layout>
      <c:pie3DChart>
        <c:varyColors val="1"/>
        <c:ser>
          <c:idx val="0"/>
          <c:order val="0"/>
          <c:spPr>
            <a:solidFill>
              <a:srgbClr val="9999FF"/>
            </a:solidFill>
            <a:ln w="12700">
              <a:solidFill>
                <a:srgbClr val="000000"/>
              </a:solidFill>
              <a:prstDash val="solid"/>
            </a:ln>
          </c:spPr>
          <c:explosion val="3"/>
          <c:dPt>
            <c:idx val="1"/>
            <c:spPr>
              <a:solidFill>
                <a:srgbClr val="993366"/>
              </a:solidFill>
              <a:ln w="12700">
                <a:solidFill>
                  <a:srgbClr val="000000"/>
                </a:solidFill>
                <a:prstDash val="solid"/>
              </a:ln>
            </c:spPr>
          </c:dPt>
          <c:dPt>
            <c:idx val="2"/>
            <c:spPr>
              <a:solidFill>
                <a:srgbClr val="00FF00"/>
              </a:solidFill>
              <a:ln w="12700">
                <a:solidFill>
                  <a:srgbClr val="000000"/>
                </a:solidFill>
                <a:prstDash val="solid"/>
              </a:ln>
            </c:spPr>
          </c:dPt>
          <c:dPt>
            <c:idx val="3"/>
            <c:spPr>
              <a:solidFill>
                <a:srgbClr val="FF00FF"/>
              </a:solidFill>
              <a:ln w="12700">
                <a:solidFill>
                  <a:srgbClr val="000000"/>
                </a:solidFill>
                <a:prstDash val="solid"/>
              </a:ln>
            </c:spPr>
          </c:dPt>
          <c:dPt>
            <c:idx val="4"/>
            <c:spPr>
              <a:solidFill>
                <a:srgbClr val="00FFFF"/>
              </a:solidFill>
              <a:ln w="12700">
                <a:solidFill>
                  <a:srgbClr val="000000"/>
                </a:solidFill>
                <a:prstDash val="solid"/>
              </a:ln>
            </c:spPr>
          </c:dPt>
          <c:dPt>
            <c:idx val="5"/>
            <c:spPr>
              <a:solidFill>
                <a:schemeClr val="accent6">
                  <a:lumMod val="60000"/>
                  <a:lumOff val="40000"/>
                </a:schemeClr>
              </a:solidFill>
              <a:ln w="12700">
                <a:solidFill>
                  <a:srgbClr val="000000"/>
                </a:solidFill>
                <a:prstDash val="solid"/>
              </a:ln>
            </c:spPr>
          </c:dPt>
          <c:dPt>
            <c:idx val="6"/>
            <c:spPr>
              <a:solidFill>
                <a:srgbClr val="FF6600"/>
              </a:solidFill>
              <a:ln w="12700">
                <a:solidFill>
                  <a:srgbClr val="000000"/>
                </a:solidFill>
                <a:prstDash val="solid"/>
              </a:ln>
            </c:spPr>
          </c:dPt>
          <c:dPt>
            <c:idx val="7"/>
            <c:spPr>
              <a:solidFill>
                <a:srgbClr val="FFFF00"/>
              </a:solidFill>
              <a:ln w="12700">
                <a:solidFill>
                  <a:srgbClr val="000000"/>
                </a:solidFill>
                <a:prstDash val="solid"/>
              </a:ln>
            </c:spPr>
          </c:dPt>
          <c:dLbls>
            <c:dLbl>
              <c:idx val="0"/>
              <c:layout>
                <c:manualLayout>
                  <c:x val="-0.13041199699504041"/>
                  <c:y val="-0.1711860012279596"/>
                </c:manualLayout>
              </c:layout>
              <c:dLblPos val="bestFit"/>
              <c:showCatName val="1"/>
              <c:showPercent val="1"/>
            </c:dLbl>
            <c:dLbl>
              <c:idx val="1"/>
              <c:layout>
                <c:manualLayout>
                  <c:x val="-3.454519278330926E-2"/>
                  <c:y val="-0.22974467966628839"/>
                </c:manualLayout>
              </c:layout>
              <c:dLblPos val="bestFit"/>
              <c:showCatName val="1"/>
              <c:showPercent val="1"/>
            </c:dLbl>
            <c:dLbl>
              <c:idx val="2"/>
              <c:layout>
                <c:manualLayout>
                  <c:x val="4.8138847508926294E-3"/>
                  <c:y val="-0.12128731572104888"/>
                </c:manualLayout>
              </c:layout>
              <c:dLblPos val="bestFit"/>
              <c:showCatName val="1"/>
              <c:showPercent val="1"/>
            </c:dLbl>
            <c:dLbl>
              <c:idx val="3"/>
              <c:layout>
                <c:manualLayout>
                  <c:x val="6.5473977914923326E-3"/>
                  <c:y val="-2.2255909600085052E-2"/>
                </c:manualLayout>
              </c:layout>
              <c:dLblPos val="bestFit"/>
              <c:showCatName val="1"/>
              <c:showPercent val="1"/>
            </c:dLbl>
            <c:dLbl>
              <c:idx val="4"/>
              <c:layout>
                <c:manualLayout>
                  <c:x val="-5.1256295665744476E-3"/>
                  <c:y val="9.9200497134120047E-2"/>
                </c:manualLayout>
              </c:layout>
              <c:dLblPos val="bestFit"/>
              <c:showCatName val="1"/>
              <c:showPercent val="1"/>
            </c:dLbl>
            <c:dLbl>
              <c:idx val="5"/>
              <c:layout>
                <c:manualLayout>
                  <c:x val="0.10090107844362108"/>
                  <c:y val="0.13081321161108081"/>
                </c:manualLayout>
              </c:layout>
              <c:dLblPos val="bestFit"/>
              <c:showCatName val="1"/>
              <c:showPercent val="1"/>
            </c:dLbl>
            <c:dLbl>
              <c:idx val="6"/>
              <c:layout>
                <c:manualLayout>
                  <c:x val="-8.8287674288379872E-2"/>
                  <c:y val="-7.3017739948847402E-2"/>
                </c:manualLayout>
              </c:layout>
              <c:dLblPos val="bestFit"/>
              <c:showCatName val="1"/>
              <c:showPercent val="1"/>
            </c:dLbl>
            <c:dLbl>
              <c:idx val="7"/>
              <c:layout>
                <c:manualLayout>
                  <c:x val="1.8374216736421457E-2"/>
                  <c:y val="-9.5634541009477422E-2"/>
                </c:manualLayout>
              </c:layout>
              <c:dLblPos val="bestFit"/>
              <c:showCatName val="1"/>
              <c:showPercent val="1"/>
            </c:dLbl>
            <c:numFmt formatCode="0.0%" sourceLinked="0"/>
            <c:spPr>
              <a:noFill/>
              <a:ln w="25400">
                <a:noFill/>
              </a:ln>
            </c:spPr>
            <c:showCatName val="1"/>
            <c:showPercent val="1"/>
            <c:showLeaderLines val="1"/>
          </c:dLbls>
          <c:cat>
            <c:strRef>
              <c:f>'Diagramma 4-2'!$Q$1:$Q$8</c:f>
              <c:strCache>
                <c:ptCount val="8"/>
                <c:pt idx="0">
                  <c:v>Ομόλογα Εσωτερικού</c:v>
                </c:pt>
                <c:pt idx="1">
                  <c:v>Ομόλογα Εξωτερικού και Τιτλοποιήσεις</c:v>
                </c:pt>
                <c:pt idx="2">
                  <c:v>Έντοκα Γραμμάτια</c:v>
                </c:pt>
                <c:pt idx="3">
                  <c:v>Δαν. Τρ. Ελλάδος και Λοιπά</c:v>
                </c:pt>
                <c:pt idx="4">
                  <c:v>Ειδικά και Διακρατικά Δάνεια</c:v>
                </c:pt>
                <c:pt idx="5">
                  <c:v>Δάνεια Μηχ/σμού Στήριξης</c:v>
                </c:pt>
                <c:pt idx="6">
                  <c:v>Λοιπά Δάνεια Εξωτερικού</c:v>
                </c:pt>
                <c:pt idx="7">
                  <c:v>Repos</c:v>
                </c:pt>
              </c:strCache>
            </c:strRef>
          </c:cat>
          <c:val>
            <c:numRef>
              <c:f>'Diagramma 4-2'!$R$11:$R$18</c:f>
              <c:numCache>
                <c:formatCode>General</c:formatCode>
                <c:ptCount val="8"/>
                <c:pt idx="0">
                  <c:v>15.4</c:v>
                </c:pt>
                <c:pt idx="1">
                  <c:v>0.5</c:v>
                </c:pt>
                <c:pt idx="2">
                  <c:v>4.3</c:v>
                </c:pt>
                <c:pt idx="3">
                  <c:v>0.60000000000000064</c:v>
                </c:pt>
                <c:pt idx="4">
                  <c:v>2.1</c:v>
                </c:pt>
                <c:pt idx="5">
                  <c:v>71.099999999999994</c:v>
                </c:pt>
                <c:pt idx="6">
                  <c:v>0.1</c:v>
                </c:pt>
                <c:pt idx="7">
                  <c:v>5.9</c:v>
                </c:pt>
              </c:numCache>
            </c:numRef>
          </c:val>
        </c:ser>
      </c:pie3DChart>
      <c:spPr>
        <a:noFill/>
        <a:ln w="25400">
          <a:noFill/>
        </a:ln>
      </c:spPr>
    </c:plotArea>
    <c:plotVisOnly val="1"/>
    <c:dispBlanksAs val="zero"/>
  </c:chart>
  <c:spPr>
    <a:solidFill>
      <a:srgbClr val="FFFFFF"/>
    </a:solidFill>
    <a:ln w="3175">
      <a:noFill/>
      <a:prstDash val="solid"/>
    </a:ln>
  </c:spPr>
  <c:txPr>
    <a:bodyPr/>
    <a:lstStyle/>
    <a:p>
      <a:pPr>
        <a:defRPr sz="800" b="0" i="0" u="none" strike="noStrike" baseline="0">
          <a:solidFill>
            <a:srgbClr val="000000"/>
          </a:solidFill>
          <a:latin typeface="Arial Narrow" pitchFamily="34" charset="0"/>
          <a:ea typeface="Arial"/>
          <a:cs typeface="Arial"/>
        </a:defRPr>
      </a:pPr>
      <a:endParaRPr lang="el-G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109516931852445"/>
          <c:y val="6.070287539936102E-2"/>
          <c:w val="0.81619939331832958"/>
          <c:h val="0.72102511576296857"/>
        </c:manualLayout>
      </c:layout>
      <c:lineChart>
        <c:grouping val="standard"/>
        <c:ser>
          <c:idx val="1"/>
          <c:order val="0"/>
          <c:tx>
            <c:strRef>
              <c:f>'Diagramma 4.3 '!$A$5</c:f>
              <c:strCache>
                <c:ptCount val="1"/>
                <c:pt idx="0">
                  <c:v>Τόκοι μετά SWAP ως % του ΑΕΠ</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'Diagramma 4.3 '!$B$3:$G$3</c:f>
              <c:strCache>
                <c:ptCount val="6"/>
                <c:pt idx="0">
                  <c:v>2015</c:v>
                </c:pt>
                <c:pt idx="1">
                  <c:v>2016</c:v>
                </c:pt>
                <c:pt idx="2">
                  <c:v>2017</c:v>
                </c:pt>
                <c:pt idx="3">
                  <c:v>2018</c:v>
                </c:pt>
                <c:pt idx="4">
                  <c:v>2019*</c:v>
                </c:pt>
                <c:pt idx="5">
                  <c:v>2020**</c:v>
                </c:pt>
              </c:strCache>
            </c:strRef>
          </c:cat>
          <c:val>
            <c:numRef>
              <c:f>'Diagramma 4.3 '!$B$5:$G$5</c:f>
              <c:numCache>
                <c:formatCode>0.0%</c:formatCode>
                <c:ptCount val="6"/>
                <c:pt idx="0">
                  <c:v>3.2720667050288275E-2</c:v>
                </c:pt>
                <c:pt idx="1">
                  <c:v>3.1662209328679691E-2</c:v>
                </c:pt>
                <c:pt idx="2">
                  <c:v>3.4447169539113857E-2</c:v>
                </c:pt>
                <c:pt idx="3">
                  <c:v>3.0068105287092479E-2</c:v>
                </c:pt>
                <c:pt idx="4">
                  <c:v>3.1894065388097095E-2</c:v>
                </c:pt>
                <c:pt idx="5">
                  <c:v>3.1168436256746767E-2</c:v>
                </c:pt>
              </c:numCache>
            </c:numRef>
          </c:val>
        </c:ser>
        <c:marker val="1"/>
        <c:axId val="133198976"/>
        <c:axId val="133200896"/>
      </c:lineChart>
      <c:catAx>
        <c:axId val="133198976"/>
        <c:scaling>
          <c:orientation val="minMax"/>
        </c:scaling>
        <c:axPos val="b"/>
        <c:numFmt formatCode="General" sourceLinked="1"/>
        <c:tickLblPos val="nextTo"/>
        <c:spPr>
          <a:ln w="3175">
            <a:solidFill>
              <a:srgbClr val="000000"/>
            </a:solidFill>
            <a:prstDash val="solid"/>
          </a:ln>
        </c:spPr>
        <c:txPr>
          <a:bodyPr rot="0" vert="horz"/>
          <a:lstStyle/>
          <a:p>
            <a:pPr>
              <a:defRPr b="1"/>
            </a:pPr>
            <a:endParaRPr lang="el-GR"/>
          </a:p>
        </c:txPr>
        <c:crossAx val="133200896"/>
        <c:crosses val="autoZero"/>
        <c:auto val="1"/>
        <c:lblAlgn val="ctr"/>
        <c:lblOffset val="100"/>
        <c:tickLblSkip val="1"/>
        <c:tickMarkSkip val="1"/>
      </c:catAx>
      <c:valAx>
        <c:axId val="133200896"/>
        <c:scaling>
          <c:orientation val="minMax"/>
          <c:max val="4.0000000000000022E-2"/>
          <c:min val="0"/>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b="1"/>
            </a:pPr>
            <a:endParaRPr lang="el-GR"/>
          </a:p>
        </c:txPr>
        <c:crossAx val="133198976"/>
        <c:crosses val="autoZero"/>
        <c:crossBetween val="between"/>
        <c:minorUnit val="1.0000000000000005E-2"/>
      </c:valAx>
      <c:spPr>
        <a:solidFill>
          <a:schemeClr val="bg1"/>
        </a:solidFill>
        <a:ln w="12700">
          <a:noFill/>
          <a:prstDash val="solid"/>
        </a:ln>
      </c:spPr>
    </c:plotArea>
    <c:legend>
      <c:legendPos val="b"/>
      <c:spPr>
        <a:solidFill>
          <a:srgbClr val="FFFFFF"/>
        </a:solidFill>
        <a:ln w="3175">
          <a:noFill/>
          <a:prstDash val="solid"/>
        </a:ln>
      </c:spPr>
    </c:legend>
    <c:plotVisOnly val="1"/>
    <c:dispBlanksAs val="gap"/>
  </c:chart>
  <c:spPr>
    <a:solidFill>
      <a:srgbClr val="FFFFFF"/>
    </a:solidFill>
    <a:ln w="3175">
      <a:noFill/>
      <a:prstDash val="solid"/>
    </a:ln>
  </c:spPr>
  <c:txPr>
    <a:bodyPr/>
    <a:lstStyle/>
    <a:p>
      <a:pPr>
        <a:defRPr sz="800" b="0" i="0" u="none" strike="noStrike" baseline="0">
          <a:solidFill>
            <a:srgbClr val="000000"/>
          </a:solidFill>
          <a:latin typeface="Arial Narrow" pitchFamily="34" charset="0"/>
          <a:ea typeface="Arial"/>
          <a:cs typeface="Arial"/>
        </a:defRPr>
      </a:pPr>
      <a:endParaRPr lang="el-G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9.4474317754146067E-2"/>
          <c:y val="9.3984962406015268E-2"/>
          <c:w val="0.89083104005938663"/>
          <c:h val="0.7518796992481267"/>
        </c:manualLayout>
      </c:layout>
      <c:lineChart>
        <c:grouping val="standard"/>
        <c:ser>
          <c:idx val="0"/>
          <c:order val="0"/>
          <c:tx>
            <c:strRef>
              <c:f>'Diagramma 4.4 '!$D$1</c:f>
              <c:strCache>
                <c:ptCount val="1"/>
              </c:strCache>
            </c:strRef>
          </c:tx>
          <c:spPr>
            <a:ln w="12700">
              <a:solidFill>
                <a:srgbClr val="000080"/>
              </a:solidFill>
              <a:prstDash val="solid"/>
            </a:ln>
          </c:spPr>
          <c:marker>
            <c:symbol val="square"/>
            <c:size val="5"/>
            <c:spPr>
              <a:solidFill>
                <a:srgbClr val="000080"/>
              </a:solidFill>
              <a:ln>
                <a:solidFill>
                  <a:srgbClr val="000080"/>
                </a:solidFill>
                <a:prstDash val="solid"/>
              </a:ln>
            </c:spPr>
          </c:marker>
          <c:cat>
            <c:strRef>
              <c:f>'Diagramma 4.4 '!$A$3:$A$11</c:f>
              <c:strCache>
                <c:ptCount val="9"/>
                <c:pt idx="0">
                  <c:v>3Μ</c:v>
                </c:pt>
                <c:pt idx="1">
                  <c:v>6Μ</c:v>
                </c:pt>
                <c:pt idx="2">
                  <c:v>1Ε</c:v>
                </c:pt>
                <c:pt idx="3">
                  <c:v>3Ε</c:v>
                </c:pt>
                <c:pt idx="4">
                  <c:v>5Ε</c:v>
                </c:pt>
                <c:pt idx="5">
                  <c:v>10Ε</c:v>
                </c:pt>
                <c:pt idx="6">
                  <c:v>15Ε</c:v>
                </c:pt>
                <c:pt idx="7">
                  <c:v>20Ε</c:v>
                </c:pt>
                <c:pt idx="8">
                  <c:v>25Ε</c:v>
                </c:pt>
              </c:strCache>
            </c:strRef>
          </c:cat>
          <c:val>
            <c:numRef>
              <c:f>'Diagramma 4.4 '!$B$3:$B$11</c:f>
              <c:numCache>
                <c:formatCode>0.0000%</c:formatCode>
                <c:ptCount val="9"/>
                <c:pt idx="0">
                  <c:v>1.0000000000000067E-5</c:v>
                </c:pt>
                <c:pt idx="1">
                  <c:v>1.039E-3</c:v>
                </c:pt>
                <c:pt idx="2">
                  <c:v>2.3140000000000001E-3</c:v>
                </c:pt>
                <c:pt idx="3">
                  <c:v>2.3370000000000001E-3</c:v>
                </c:pt>
                <c:pt idx="4">
                  <c:v>3.934E-3</c:v>
                </c:pt>
                <c:pt idx="5">
                  <c:v>1.180300000000006E-2</c:v>
                </c:pt>
                <c:pt idx="6">
                  <c:v>1.6249000000000003E-2</c:v>
                </c:pt>
                <c:pt idx="7">
                  <c:v>1.9547999999999999E-2</c:v>
                </c:pt>
                <c:pt idx="8">
                  <c:v>2.1194999999999999E-2</c:v>
                </c:pt>
              </c:numCache>
            </c:numRef>
          </c:val>
        </c:ser>
        <c:ser>
          <c:idx val="1"/>
          <c:order val="1"/>
          <c:tx>
            <c:strRef>
              <c:f>'Diagramma 4.4 '!$B$1</c:f>
              <c:strCache>
                <c:ptCount val="1"/>
                <c:pt idx="0">
                  <c:v>4/11/2019</c:v>
                </c:pt>
              </c:strCache>
            </c:strRef>
          </c:tx>
          <c:spPr>
            <a:ln w="12700">
              <a:solidFill>
                <a:srgbClr val="FF00FF"/>
              </a:solidFill>
              <a:prstDash val="solid"/>
            </a:ln>
          </c:spPr>
          <c:marker>
            <c:symbol val="diamond"/>
            <c:size val="5"/>
            <c:spPr>
              <a:solidFill>
                <a:srgbClr val="FF00FF"/>
              </a:solidFill>
              <a:ln>
                <a:solidFill>
                  <a:srgbClr val="FF00FF"/>
                </a:solidFill>
                <a:prstDash val="solid"/>
              </a:ln>
            </c:spPr>
          </c:marker>
          <c:cat>
            <c:strRef>
              <c:f>'Diagramma 4.4 '!$A$3:$A$11</c:f>
              <c:strCache>
                <c:ptCount val="9"/>
                <c:pt idx="0">
                  <c:v>3Μ</c:v>
                </c:pt>
                <c:pt idx="1">
                  <c:v>6Μ</c:v>
                </c:pt>
                <c:pt idx="2">
                  <c:v>1Ε</c:v>
                </c:pt>
                <c:pt idx="3">
                  <c:v>3Ε</c:v>
                </c:pt>
                <c:pt idx="4">
                  <c:v>5Ε</c:v>
                </c:pt>
                <c:pt idx="5">
                  <c:v>10Ε</c:v>
                </c:pt>
                <c:pt idx="6">
                  <c:v>15Ε</c:v>
                </c:pt>
                <c:pt idx="7">
                  <c:v>20Ε</c:v>
                </c:pt>
                <c:pt idx="8">
                  <c:v>25Ε</c:v>
                </c:pt>
              </c:strCache>
            </c:strRef>
          </c:cat>
          <c:val>
            <c:numRef>
              <c:f>'Diagramma 4.4 '!#ΑΝΑΦ!</c:f>
              <c:numCache>
                <c:formatCode>General</c:formatCode>
                <c:ptCount val="1"/>
                <c:pt idx="0">
                  <c:v>1</c:v>
                </c:pt>
              </c:numCache>
            </c:numRef>
          </c:val>
        </c:ser>
        <c:marker val="1"/>
        <c:axId val="134392448"/>
        <c:axId val="134398720"/>
      </c:lineChart>
      <c:catAx>
        <c:axId val="134392448"/>
        <c:scaling>
          <c:orientation val="minMax"/>
        </c:scaling>
        <c:axPos val="b"/>
        <c:numFmt formatCode="General" sourceLinked="1"/>
        <c:tickLblPos val="nextTo"/>
        <c:spPr>
          <a:ln w="3175">
            <a:solidFill>
              <a:srgbClr val="000000"/>
            </a:solidFill>
            <a:prstDash val="solid"/>
          </a:ln>
        </c:spPr>
        <c:txPr>
          <a:bodyPr rot="0" vert="horz"/>
          <a:lstStyle/>
          <a:p>
            <a:pPr>
              <a:defRPr/>
            </a:pPr>
            <a:endParaRPr lang="el-GR"/>
          </a:p>
        </c:txPr>
        <c:crossAx val="134398720"/>
        <c:crosses val="autoZero"/>
        <c:auto val="1"/>
        <c:lblAlgn val="ctr"/>
        <c:lblOffset val="100"/>
        <c:tickLblSkip val="1"/>
        <c:tickMarkSkip val="1"/>
      </c:catAx>
      <c:valAx>
        <c:axId val="134398720"/>
        <c:scaling>
          <c:orientation val="minMax"/>
          <c:max val="3.0000000000000016E-2"/>
          <c:min val="0"/>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a:pPr>
            <a:endParaRPr lang="el-GR"/>
          </a:p>
        </c:txPr>
        <c:crossAx val="134392448"/>
        <c:crosses val="autoZero"/>
        <c:crossBetween val="between"/>
        <c:majorUnit val="1.0000000000000005E-2"/>
      </c:valAx>
      <c:spPr>
        <a:solidFill>
          <a:srgbClr val="FFFFFF"/>
        </a:solidFill>
        <a:ln w="12700">
          <a:solidFill>
            <a:srgbClr val="FFFFFF"/>
          </a:solidFill>
          <a:prstDash val="solid"/>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Narrow" pitchFamily="34" charset="0"/>
          <a:ea typeface="Arial"/>
          <a:cs typeface="Arial"/>
        </a:defRPr>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7.5267156135582672E-2"/>
          <c:y val="6.6758751751688702E-2"/>
          <c:w val="0.88275878139745256"/>
          <c:h val="0.70364703425333186"/>
        </c:manualLayout>
      </c:layout>
      <c:lineChart>
        <c:grouping val="standard"/>
        <c:ser>
          <c:idx val="0"/>
          <c:order val="0"/>
          <c:tx>
            <c:strRef>
              <c:f>'ΣΤΟΙΧΕΙΑ ΓΙΑ ΠΡΟΥΠ 2018'!$B$2</c:f>
              <c:strCache>
                <c:ptCount val="1"/>
                <c:pt idx="0">
                  <c:v>ΒΕΛΓΙΟ</c:v>
                </c:pt>
              </c:strCache>
            </c:strRef>
          </c:tx>
          <c:marker>
            <c:symbol val="none"/>
          </c:marker>
          <c:cat>
            <c:numRef>
              <c:f>'ΣΤΟΙΧΕΙΑ ΓΙΑ ΠΡΟΥΠ 2018'!$A$3:$A$1535</c:f>
              <c:numCache>
                <c:formatCode>d/m/yyyy</c:formatCode>
                <c:ptCount val="256"/>
                <c:pt idx="0">
                  <c:v>43404</c:v>
                </c:pt>
                <c:pt idx="1">
                  <c:v>43405</c:v>
                </c:pt>
                <c:pt idx="2">
                  <c:v>43406</c:v>
                </c:pt>
                <c:pt idx="3">
                  <c:v>43409</c:v>
                </c:pt>
                <c:pt idx="4">
                  <c:v>43410</c:v>
                </c:pt>
                <c:pt idx="5">
                  <c:v>43411</c:v>
                </c:pt>
                <c:pt idx="6">
                  <c:v>43412</c:v>
                </c:pt>
                <c:pt idx="7">
                  <c:v>43413</c:v>
                </c:pt>
                <c:pt idx="8">
                  <c:v>43416</c:v>
                </c:pt>
                <c:pt idx="9">
                  <c:v>43417</c:v>
                </c:pt>
                <c:pt idx="10">
                  <c:v>43418</c:v>
                </c:pt>
                <c:pt idx="11">
                  <c:v>43419</c:v>
                </c:pt>
                <c:pt idx="12">
                  <c:v>43420</c:v>
                </c:pt>
                <c:pt idx="13">
                  <c:v>43423</c:v>
                </c:pt>
                <c:pt idx="14">
                  <c:v>43424</c:v>
                </c:pt>
                <c:pt idx="15">
                  <c:v>43425</c:v>
                </c:pt>
                <c:pt idx="16">
                  <c:v>43426</c:v>
                </c:pt>
                <c:pt idx="17">
                  <c:v>43427</c:v>
                </c:pt>
                <c:pt idx="18">
                  <c:v>43430</c:v>
                </c:pt>
                <c:pt idx="19">
                  <c:v>43431</c:v>
                </c:pt>
                <c:pt idx="20">
                  <c:v>43432</c:v>
                </c:pt>
                <c:pt idx="21">
                  <c:v>43433</c:v>
                </c:pt>
                <c:pt idx="22">
                  <c:v>43434</c:v>
                </c:pt>
                <c:pt idx="23">
                  <c:v>43437</c:v>
                </c:pt>
                <c:pt idx="24">
                  <c:v>43438</c:v>
                </c:pt>
                <c:pt idx="25">
                  <c:v>43439</c:v>
                </c:pt>
                <c:pt idx="26">
                  <c:v>43440</c:v>
                </c:pt>
                <c:pt idx="27">
                  <c:v>43441</c:v>
                </c:pt>
                <c:pt idx="28">
                  <c:v>43444</c:v>
                </c:pt>
                <c:pt idx="29">
                  <c:v>43445</c:v>
                </c:pt>
                <c:pt idx="30">
                  <c:v>43446</c:v>
                </c:pt>
                <c:pt idx="31">
                  <c:v>43447</c:v>
                </c:pt>
                <c:pt idx="32">
                  <c:v>43448</c:v>
                </c:pt>
                <c:pt idx="33">
                  <c:v>43451</c:v>
                </c:pt>
                <c:pt idx="34">
                  <c:v>43452</c:v>
                </c:pt>
                <c:pt idx="35">
                  <c:v>43453</c:v>
                </c:pt>
                <c:pt idx="36">
                  <c:v>43454</c:v>
                </c:pt>
                <c:pt idx="37">
                  <c:v>43455</c:v>
                </c:pt>
                <c:pt idx="38">
                  <c:v>43458</c:v>
                </c:pt>
                <c:pt idx="39">
                  <c:v>43461</c:v>
                </c:pt>
                <c:pt idx="40">
                  <c:v>43462</c:v>
                </c:pt>
                <c:pt idx="41">
                  <c:v>43465</c:v>
                </c:pt>
                <c:pt idx="42">
                  <c:v>43467</c:v>
                </c:pt>
                <c:pt idx="43">
                  <c:v>43468</c:v>
                </c:pt>
                <c:pt idx="44">
                  <c:v>43469</c:v>
                </c:pt>
                <c:pt idx="45">
                  <c:v>43472</c:v>
                </c:pt>
                <c:pt idx="46">
                  <c:v>43473</c:v>
                </c:pt>
                <c:pt idx="47">
                  <c:v>43474</c:v>
                </c:pt>
                <c:pt idx="48">
                  <c:v>43475</c:v>
                </c:pt>
                <c:pt idx="49">
                  <c:v>43476</c:v>
                </c:pt>
                <c:pt idx="50">
                  <c:v>43479</c:v>
                </c:pt>
                <c:pt idx="51">
                  <c:v>43480</c:v>
                </c:pt>
                <c:pt idx="52">
                  <c:v>43481</c:v>
                </c:pt>
                <c:pt idx="53">
                  <c:v>43482</c:v>
                </c:pt>
                <c:pt idx="54">
                  <c:v>43483</c:v>
                </c:pt>
                <c:pt idx="55">
                  <c:v>43486</c:v>
                </c:pt>
                <c:pt idx="56">
                  <c:v>43487</c:v>
                </c:pt>
                <c:pt idx="57">
                  <c:v>43488</c:v>
                </c:pt>
                <c:pt idx="58">
                  <c:v>43489</c:v>
                </c:pt>
                <c:pt idx="59">
                  <c:v>43490</c:v>
                </c:pt>
                <c:pt idx="60">
                  <c:v>43493</c:v>
                </c:pt>
                <c:pt idx="61">
                  <c:v>43494</c:v>
                </c:pt>
                <c:pt idx="62">
                  <c:v>43495</c:v>
                </c:pt>
                <c:pt idx="63">
                  <c:v>43496</c:v>
                </c:pt>
                <c:pt idx="64">
                  <c:v>43497</c:v>
                </c:pt>
                <c:pt idx="65">
                  <c:v>43500</c:v>
                </c:pt>
                <c:pt idx="66">
                  <c:v>43501</c:v>
                </c:pt>
                <c:pt idx="67">
                  <c:v>43502</c:v>
                </c:pt>
                <c:pt idx="68">
                  <c:v>43503</c:v>
                </c:pt>
                <c:pt idx="69">
                  <c:v>43504</c:v>
                </c:pt>
                <c:pt idx="70">
                  <c:v>43507</c:v>
                </c:pt>
                <c:pt idx="71">
                  <c:v>43508</c:v>
                </c:pt>
                <c:pt idx="72">
                  <c:v>43509</c:v>
                </c:pt>
                <c:pt idx="73">
                  <c:v>43510</c:v>
                </c:pt>
                <c:pt idx="74">
                  <c:v>43511</c:v>
                </c:pt>
                <c:pt idx="75">
                  <c:v>43514</c:v>
                </c:pt>
                <c:pt idx="76">
                  <c:v>43515</c:v>
                </c:pt>
                <c:pt idx="77">
                  <c:v>43516</c:v>
                </c:pt>
                <c:pt idx="78">
                  <c:v>43517</c:v>
                </c:pt>
                <c:pt idx="79">
                  <c:v>43518</c:v>
                </c:pt>
                <c:pt idx="80">
                  <c:v>43521</c:v>
                </c:pt>
                <c:pt idx="81">
                  <c:v>43522</c:v>
                </c:pt>
                <c:pt idx="82">
                  <c:v>43523</c:v>
                </c:pt>
                <c:pt idx="83">
                  <c:v>43524</c:v>
                </c:pt>
                <c:pt idx="84">
                  <c:v>43525</c:v>
                </c:pt>
                <c:pt idx="85">
                  <c:v>43528</c:v>
                </c:pt>
                <c:pt idx="86">
                  <c:v>43529</c:v>
                </c:pt>
                <c:pt idx="87">
                  <c:v>43530</c:v>
                </c:pt>
                <c:pt idx="88">
                  <c:v>43531</c:v>
                </c:pt>
                <c:pt idx="89">
                  <c:v>43532</c:v>
                </c:pt>
                <c:pt idx="90">
                  <c:v>43535</c:v>
                </c:pt>
                <c:pt idx="91">
                  <c:v>43536</c:v>
                </c:pt>
                <c:pt idx="92">
                  <c:v>43537</c:v>
                </c:pt>
                <c:pt idx="93">
                  <c:v>43538</c:v>
                </c:pt>
                <c:pt idx="94">
                  <c:v>43539</c:v>
                </c:pt>
                <c:pt idx="95">
                  <c:v>43542</c:v>
                </c:pt>
                <c:pt idx="96">
                  <c:v>43543</c:v>
                </c:pt>
                <c:pt idx="97">
                  <c:v>43544</c:v>
                </c:pt>
                <c:pt idx="98">
                  <c:v>43545</c:v>
                </c:pt>
                <c:pt idx="99">
                  <c:v>43546</c:v>
                </c:pt>
                <c:pt idx="100">
                  <c:v>43549</c:v>
                </c:pt>
                <c:pt idx="101">
                  <c:v>43550</c:v>
                </c:pt>
                <c:pt idx="102">
                  <c:v>43551</c:v>
                </c:pt>
                <c:pt idx="103">
                  <c:v>43552</c:v>
                </c:pt>
                <c:pt idx="104">
                  <c:v>43553</c:v>
                </c:pt>
                <c:pt idx="105">
                  <c:v>43556</c:v>
                </c:pt>
                <c:pt idx="106">
                  <c:v>43557</c:v>
                </c:pt>
                <c:pt idx="107">
                  <c:v>43558</c:v>
                </c:pt>
                <c:pt idx="108">
                  <c:v>43559</c:v>
                </c:pt>
                <c:pt idx="109">
                  <c:v>43560</c:v>
                </c:pt>
                <c:pt idx="110">
                  <c:v>43563</c:v>
                </c:pt>
                <c:pt idx="111">
                  <c:v>43564</c:v>
                </c:pt>
                <c:pt idx="112">
                  <c:v>43565</c:v>
                </c:pt>
                <c:pt idx="113">
                  <c:v>43566</c:v>
                </c:pt>
                <c:pt idx="114">
                  <c:v>43567</c:v>
                </c:pt>
                <c:pt idx="115">
                  <c:v>43570</c:v>
                </c:pt>
                <c:pt idx="116">
                  <c:v>43571</c:v>
                </c:pt>
                <c:pt idx="117">
                  <c:v>43572</c:v>
                </c:pt>
                <c:pt idx="118">
                  <c:v>43573</c:v>
                </c:pt>
                <c:pt idx="119">
                  <c:v>43578</c:v>
                </c:pt>
                <c:pt idx="120">
                  <c:v>43579</c:v>
                </c:pt>
                <c:pt idx="121">
                  <c:v>43580</c:v>
                </c:pt>
                <c:pt idx="122">
                  <c:v>43581</c:v>
                </c:pt>
                <c:pt idx="123">
                  <c:v>43584</c:v>
                </c:pt>
                <c:pt idx="124">
                  <c:v>43585</c:v>
                </c:pt>
                <c:pt idx="125">
                  <c:v>43587</c:v>
                </c:pt>
                <c:pt idx="126">
                  <c:v>43588</c:v>
                </c:pt>
                <c:pt idx="127">
                  <c:v>43591</c:v>
                </c:pt>
                <c:pt idx="128">
                  <c:v>43592</c:v>
                </c:pt>
                <c:pt idx="129">
                  <c:v>43593</c:v>
                </c:pt>
                <c:pt idx="130">
                  <c:v>43594</c:v>
                </c:pt>
                <c:pt idx="131">
                  <c:v>43595</c:v>
                </c:pt>
                <c:pt idx="132">
                  <c:v>43598</c:v>
                </c:pt>
                <c:pt idx="133">
                  <c:v>43599</c:v>
                </c:pt>
                <c:pt idx="134">
                  <c:v>43600</c:v>
                </c:pt>
                <c:pt idx="135">
                  <c:v>43601</c:v>
                </c:pt>
                <c:pt idx="136">
                  <c:v>43602</c:v>
                </c:pt>
                <c:pt idx="137">
                  <c:v>43605</c:v>
                </c:pt>
                <c:pt idx="138">
                  <c:v>43606</c:v>
                </c:pt>
                <c:pt idx="139">
                  <c:v>43607</c:v>
                </c:pt>
                <c:pt idx="140">
                  <c:v>43608</c:v>
                </c:pt>
                <c:pt idx="141">
                  <c:v>43609</c:v>
                </c:pt>
                <c:pt idx="142">
                  <c:v>43612</c:v>
                </c:pt>
                <c:pt idx="143">
                  <c:v>43613</c:v>
                </c:pt>
                <c:pt idx="144">
                  <c:v>43614</c:v>
                </c:pt>
                <c:pt idx="145">
                  <c:v>43615</c:v>
                </c:pt>
                <c:pt idx="146">
                  <c:v>43616</c:v>
                </c:pt>
                <c:pt idx="147">
                  <c:v>43619</c:v>
                </c:pt>
                <c:pt idx="148">
                  <c:v>43620</c:v>
                </c:pt>
                <c:pt idx="149">
                  <c:v>43621</c:v>
                </c:pt>
                <c:pt idx="150">
                  <c:v>43622</c:v>
                </c:pt>
                <c:pt idx="151">
                  <c:v>43623</c:v>
                </c:pt>
                <c:pt idx="152">
                  <c:v>43626</c:v>
                </c:pt>
                <c:pt idx="153">
                  <c:v>43627</c:v>
                </c:pt>
                <c:pt idx="154">
                  <c:v>43628</c:v>
                </c:pt>
                <c:pt idx="155">
                  <c:v>43629</c:v>
                </c:pt>
                <c:pt idx="156">
                  <c:v>43630</c:v>
                </c:pt>
                <c:pt idx="157">
                  <c:v>43633</c:v>
                </c:pt>
                <c:pt idx="158">
                  <c:v>43634</c:v>
                </c:pt>
                <c:pt idx="159">
                  <c:v>43635</c:v>
                </c:pt>
                <c:pt idx="160">
                  <c:v>43636</c:v>
                </c:pt>
                <c:pt idx="161">
                  <c:v>43637</c:v>
                </c:pt>
                <c:pt idx="162">
                  <c:v>43640</c:v>
                </c:pt>
                <c:pt idx="163">
                  <c:v>43641</c:v>
                </c:pt>
                <c:pt idx="164">
                  <c:v>43642</c:v>
                </c:pt>
                <c:pt idx="165">
                  <c:v>43643</c:v>
                </c:pt>
                <c:pt idx="166">
                  <c:v>43644</c:v>
                </c:pt>
                <c:pt idx="167">
                  <c:v>43647</c:v>
                </c:pt>
                <c:pt idx="168">
                  <c:v>43648</c:v>
                </c:pt>
                <c:pt idx="169">
                  <c:v>43649</c:v>
                </c:pt>
                <c:pt idx="170">
                  <c:v>43650</c:v>
                </c:pt>
                <c:pt idx="171">
                  <c:v>43651</c:v>
                </c:pt>
                <c:pt idx="172">
                  <c:v>43654</c:v>
                </c:pt>
                <c:pt idx="173">
                  <c:v>43655</c:v>
                </c:pt>
                <c:pt idx="174">
                  <c:v>43656</c:v>
                </c:pt>
                <c:pt idx="175">
                  <c:v>43657</c:v>
                </c:pt>
                <c:pt idx="176">
                  <c:v>43658</c:v>
                </c:pt>
                <c:pt idx="177">
                  <c:v>43661</c:v>
                </c:pt>
                <c:pt idx="178">
                  <c:v>43662</c:v>
                </c:pt>
                <c:pt idx="179">
                  <c:v>43663</c:v>
                </c:pt>
                <c:pt idx="180">
                  <c:v>43664</c:v>
                </c:pt>
                <c:pt idx="181">
                  <c:v>43665</c:v>
                </c:pt>
                <c:pt idx="182">
                  <c:v>43668</c:v>
                </c:pt>
                <c:pt idx="183">
                  <c:v>43669</c:v>
                </c:pt>
                <c:pt idx="184">
                  <c:v>43670</c:v>
                </c:pt>
                <c:pt idx="185">
                  <c:v>43671</c:v>
                </c:pt>
                <c:pt idx="186">
                  <c:v>43672</c:v>
                </c:pt>
                <c:pt idx="187">
                  <c:v>43675</c:v>
                </c:pt>
                <c:pt idx="188">
                  <c:v>43676</c:v>
                </c:pt>
                <c:pt idx="189">
                  <c:v>43677</c:v>
                </c:pt>
                <c:pt idx="190">
                  <c:v>43678</c:v>
                </c:pt>
                <c:pt idx="191">
                  <c:v>43679</c:v>
                </c:pt>
                <c:pt idx="192">
                  <c:v>43682</c:v>
                </c:pt>
                <c:pt idx="193">
                  <c:v>43683</c:v>
                </c:pt>
                <c:pt idx="194">
                  <c:v>43684</c:v>
                </c:pt>
                <c:pt idx="195">
                  <c:v>43685</c:v>
                </c:pt>
                <c:pt idx="196">
                  <c:v>43686</c:v>
                </c:pt>
                <c:pt idx="197">
                  <c:v>43689</c:v>
                </c:pt>
                <c:pt idx="198">
                  <c:v>43690</c:v>
                </c:pt>
                <c:pt idx="199">
                  <c:v>43691</c:v>
                </c:pt>
                <c:pt idx="200">
                  <c:v>43692</c:v>
                </c:pt>
                <c:pt idx="201">
                  <c:v>43693</c:v>
                </c:pt>
                <c:pt idx="202">
                  <c:v>43696</c:v>
                </c:pt>
                <c:pt idx="203">
                  <c:v>43697</c:v>
                </c:pt>
                <c:pt idx="204">
                  <c:v>43698</c:v>
                </c:pt>
                <c:pt idx="205">
                  <c:v>43699</c:v>
                </c:pt>
                <c:pt idx="206">
                  <c:v>43700</c:v>
                </c:pt>
                <c:pt idx="207">
                  <c:v>43703</c:v>
                </c:pt>
                <c:pt idx="208">
                  <c:v>43704</c:v>
                </c:pt>
                <c:pt idx="209">
                  <c:v>43705</c:v>
                </c:pt>
                <c:pt idx="210">
                  <c:v>43706</c:v>
                </c:pt>
                <c:pt idx="211">
                  <c:v>43707</c:v>
                </c:pt>
                <c:pt idx="212">
                  <c:v>43710</c:v>
                </c:pt>
                <c:pt idx="213">
                  <c:v>43711</c:v>
                </c:pt>
                <c:pt idx="214">
                  <c:v>43712</c:v>
                </c:pt>
                <c:pt idx="215">
                  <c:v>43713</c:v>
                </c:pt>
                <c:pt idx="216">
                  <c:v>43714</c:v>
                </c:pt>
                <c:pt idx="217">
                  <c:v>43717</c:v>
                </c:pt>
                <c:pt idx="218">
                  <c:v>43718</c:v>
                </c:pt>
                <c:pt idx="219">
                  <c:v>43719</c:v>
                </c:pt>
                <c:pt idx="220">
                  <c:v>43720</c:v>
                </c:pt>
                <c:pt idx="221">
                  <c:v>43721</c:v>
                </c:pt>
                <c:pt idx="222">
                  <c:v>43724</c:v>
                </c:pt>
                <c:pt idx="223">
                  <c:v>43725</c:v>
                </c:pt>
                <c:pt idx="224">
                  <c:v>43726</c:v>
                </c:pt>
                <c:pt idx="225">
                  <c:v>43727</c:v>
                </c:pt>
                <c:pt idx="226">
                  <c:v>43728</c:v>
                </c:pt>
                <c:pt idx="227">
                  <c:v>43731</c:v>
                </c:pt>
                <c:pt idx="228">
                  <c:v>43732</c:v>
                </c:pt>
                <c:pt idx="229">
                  <c:v>43733</c:v>
                </c:pt>
                <c:pt idx="230">
                  <c:v>43734</c:v>
                </c:pt>
                <c:pt idx="231">
                  <c:v>43735</c:v>
                </c:pt>
                <c:pt idx="232">
                  <c:v>43738</c:v>
                </c:pt>
                <c:pt idx="233">
                  <c:v>43739</c:v>
                </c:pt>
                <c:pt idx="234">
                  <c:v>43740</c:v>
                </c:pt>
                <c:pt idx="235">
                  <c:v>43741</c:v>
                </c:pt>
                <c:pt idx="236">
                  <c:v>43742</c:v>
                </c:pt>
                <c:pt idx="237">
                  <c:v>43745</c:v>
                </c:pt>
                <c:pt idx="238">
                  <c:v>43746</c:v>
                </c:pt>
                <c:pt idx="239">
                  <c:v>43747</c:v>
                </c:pt>
                <c:pt idx="240">
                  <c:v>43748</c:v>
                </c:pt>
                <c:pt idx="241">
                  <c:v>43749</c:v>
                </c:pt>
                <c:pt idx="242">
                  <c:v>43752</c:v>
                </c:pt>
                <c:pt idx="243">
                  <c:v>43753</c:v>
                </c:pt>
                <c:pt idx="244">
                  <c:v>43754</c:v>
                </c:pt>
                <c:pt idx="245">
                  <c:v>43755</c:v>
                </c:pt>
                <c:pt idx="246">
                  <c:v>43756</c:v>
                </c:pt>
                <c:pt idx="247">
                  <c:v>43759</c:v>
                </c:pt>
                <c:pt idx="248">
                  <c:v>43760</c:v>
                </c:pt>
                <c:pt idx="249">
                  <c:v>43761</c:v>
                </c:pt>
                <c:pt idx="250">
                  <c:v>43762</c:v>
                </c:pt>
                <c:pt idx="251">
                  <c:v>43763</c:v>
                </c:pt>
                <c:pt idx="252">
                  <c:v>43766</c:v>
                </c:pt>
                <c:pt idx="253">
                  <c:v>43767</c:v>
                </c:pt>
                <c:pt idx="254">
                  <c:v>43768</c:v>
                </c:pt>
                <c:pt idx="255">
                  <c:v>43769</c:v>
                </c:pt>
              </c:numCache>
            </c:numRef>
          </c:cat>
          <c:val>
            <c:numRef>
              <c:f>'ΣΤΟΙΧΕΙΑ ΓΙΑ ΠΡΟΥΠ 2018'!$B$3:$B$1535</c:f>
              <c:numCache>
                <c:formatCode>General</c:formatCode>
                <c:ptCount val="256"/>
                <c:pt idx="0">
                  <c:v>0.77300000000000246</c:v>
                </c:pt>
                <c:pt idx="1">
                  <c:v>0.77800000000000291</c:v>
                </c:pt>
                <c:pt idx="2">
                  <c:v>0.80700000000000005</c:v>
                </c:pt>
                <c:pt idx="3">
                  <c:v>0.81299999999999994</c:v>
                </c:pt>
                <c:pt idx="4">
                  <c:v>0.82500000000000062</c:v>
                </c:pt>
                <c:pt idx="5">
                  <c:v>0.83700000000000063</c:v>
                </c:pt>
                <c:pt idx="6">
                  <c:v>0.84700000000000064</c:v>
                </c:pt>
                <c:pt idx="7">
                  <c:v>0.81799999999999995</c:v>
                </c:pt>
                <c:pt idx="8">
                  <c:v>0.82000000000000062</c:v>
                </c:pt>
                <c:pt idx="9">
                  <c:v>0.82900000000000063</c:v>
                </c:pt>
                <c:pt idx="10">
                  <c:v>0.82299999999999995</c:v>
                </c:pt>
                <c:pt idx="11">
                  <c:v>0.79200000000000004</c:v>
                </c:pt>
                <c:pt idx="12">
                  <c:v>0.80300000000000005</c:v>
                </c:pt>
                <c:pt idx="13">
                  <c:v>0.82900000000000063</c:v>
                </c:pt>
                <c:pt idx="14">
                  <c:v>0.81200000000000061</c:v>
                </c:pt>
                <c:pt idx="15">
                  <c:v>0.81899999999999995</c:v>
                </c:pt>
                <c:pt idx="16">
                  <c:v>0.81799999999999995</c:v>
                </c:pt>
                <c:pt idx="17">
                  <c:v>0.78800000000000003</c:v>
                </c:pt>
                <c:pt idx="18">
                  <c:v>0.80300000000000005</c:v>
                </c:pt>
                <c:pt idx="19">
                  <c:v>0.78800000000000003</c:v>
                </c:pt>
                <c:pt idx="20">
                  <c:v>0.79</c:v>
                </c:pt>
                <c:pt idx="21">
                  <c:v>0.75900000000000245</c:v>
                </c:pt>
                <c:pt idx="22">
                  <c:v>0.75300000000000245</c:v>
                </c:pt>
                <c:pt idx="23">
                  <c:v>0.76100000000000245</c:v>
                </c:pt>
                <c:pt idx="24">
                  <c:v>0.73100000000000065</c:v>
                </c:pt>
                <c:pt idx="25">
                  <c:v>0.74200000000000221</c:v>
                </c:pt>
                <c:pt idx="26">
                  <c:v>0.72000000000000064</c:v>
                </c:pt>
                <c:pt idx="27">
                  <c:v>0.73000000000000065</c:v>
                </c:pt>
                <c:pt idx="28">
                  <c:v>0.72400000000000064</c:v>
                </c:pt>
                <c:pt idx="29">
                  <c:v>0.74000000000000221</c:v>
                </c:pt>
                <c:pt idx="30">
                  <c:v>0.74800000000000222</c:v>
                </c:pt>
                <c:pt idx="31">
                  <c:v>0.75500000000000245</c:v>
                </c:pt>
                <c:pt idx="32">
                  <c:v>0.73500000000000065</c:v>
                </c:pt>
                <c:pt idx="33">
                  <c:v>0.75100000000000244</c:v>
                </c:pt>
                <c:pt idx="34">
                  <c:v>0.73000000000000065</c:v>
                </c:pt>
                <c:pt idx="35">
                  <c:v>0.75100000000000244</c:v>
                </c:pt>
                <c:pt idx="36">
                  <c:v>0.73800000000000165</c:v>
                </c:pt>
                <c:pt idx="37">
                  <c:v>0.75400000000000245</c:v>
                </c:pt>
                <c:pt idx="38">
                  <c:v>0.75400000000000245</c:v>
                </c:pt>
                <c:pt idx="39">
                  <c:v>0.75300000000000245</c:v>
                </c:pt>
                <c:pt idx="40">
                  <c:v>0.76100000000000245</c:v>
                </c:pt>
                <c:pt idx="41">
                  <c:v>0.76100000000000245</c:v>
                </c:pt>
                <c:pt idx="42">
                  <c:v>0.70400000000000063</c:v>
                </c:pt>
                <c:pt idx="43">
                  <c:v>0.70500000000000063</c:v>
                </c:pt>
                <c:pt idx="44">
                  <c:v>0.74900000000000222</c:v>
                </c:pt>
                <c:pt idx="45">
                  <c:v>0.77700000000000291</c:v>
                </c:pt>
                <c:pt idx="46">
                  <c:v>0.77700000000000291</c:v>
                </c:pt>
                <c:pt idx="47">
                  <c:v>0.75700000000000245</c:v>
                </c:pt>
                <c:pt idx="48">
                  <c:v>0.71800000000000064</c:v>
                </c:pt>
                <c:pt idx="49">
                  <c:v>0.70700000000000063</c:v>
                </c:pt>
                <c:pt idx="50">
                  <c:v>0.68400000000000005</c:v>
                </c:pt>
                <c:pt idx="51">
                  <c:v>0.66700000000000292</c:v>
                </c:pt>
                <c:pt idx="52">
                  <c:v>0.68100000000000005</c:v>
                </c:pt>
                <c:pt idx="53">
                  <c:v>0.68400000000000005</c:v>
                </c:pt>
                <c:pt idx="54">
                  <c:v>0.69699999999999995</c:v>
                </c:pt>
                <c:pt idx="55">
                  <c:v>0.69399999999999995</c:v>
                </c:pt>
                <c:pt idx="56">
                  <c:v>0.68300000000000005</c:v>
                </c:pt>
                <c:pt idx="57">
                  <c:v>0.66800000000000292</c:v>
                </c:pt>
                <c:pt idx="58">
                  <c:v>0.61700000000000221</c:v>
                </c:pt>
                <c:pt idx="59">
                  <c:v>0.62800000000000245</c:v>
                </c:pt>
                <c:pt idx="60">
                  <c:v>0.64100000000000246</c:v>
                </c:pt>
                <c:pt idx="61">
                  <c:v>0.64500000000000246</c:v>
                </c:pt>
                <c:pt idx="62">
                  <c:v>0.63200000000000245</c:v>
                </c:pt>
                <c:pt idx="63">
                  <c:v>0.59399999999999997</c:v>
                </c:pt>
                <c:pt idx="64">
                  <c:v>0.60500000000000065</c:v>
                </c:pt>
                <c:pt idx="65">
                  <c:v>0.60800000000000065</c:v>
                </c:pt>
                <c:pt idx="66">
                  <c:v>0.60400000000000065</c:v>
                </c:pt>
                <c:pt idx="67">
                  <c:v>0.59099999999999997</c:v>
                </c:pt>
                <c:pt idx="68">
                  <c:v>0.70000000000000062</c:v>
                </c:pt>
                <c:pt idx="69">
                  <c:v>0.68899999999999995</c:v>
                </c:pt>
                <c:pt idx="70">
                  <c:v>0.70400000000000063</c:v>
                </c:pt>
                <c:pt idx="71">
                  <c:v>0.70900000000000063</c:v>
                </c:pt>
                <c:pt idx="72">
                  <c:v>0.69399999999999995</c:v>
                </c:pt>
                <c:pt idx="73">
                  <c:v>0.67200000000000293</c:v>
                </c:pt>
                <c:pt idx="74">
                  <c:v>0.67200000000000293</c:v>
                </c:pt>
                <c:pt idx="75">
                  <c:v>0.67300000000000293</c:v>
                </c:pt>
                <c:pt idx="76">
                  <c:v>0.65700000000000292</c:v>
                </c:pt>
                <c:pt idx="77">
                  <c:v>0.64100000000000246</c:v>
                </c:pt>
                <c:pt idx="78">
                  <c:v>0.66000000000000292</c:v>
                </c:pt>
                <c:pt idx="79">
                  <c:v>0.63600000000000245</c:v>
                </c:pt>
                <c:pt idx="80">
                  <c:v>0.64100000000000246</c:v>
                </c:pt>
                <c:pt idx="81">
                  <c:v>0.64600000000000246</c:v>
                </c:pt>
                <c:pt idx="82">
                  <c:v>0.66700000000000292</c:v>
                </c:pt>
                <c:pt idx="83">
                  <c:v>0.68200000000000005</c:v>
                </c:pt>
                <c:pt idx="84">
                  <c:v>0.69299999999999995</c:v>
                </c:pt>
                <c:pt idx="85">
                  <c:v>0.67900000000000293</c:v>
                </c:pt>
                <c:pt idx="86">
                  <c:v>0.68500000000000005</c:v>
                </c:pt>
                <c:pt idx="87">
                  <c:v>0.63600000000000245</c:v>
                </c:pt>
                <c:pt idx="88">
                  <c:v>0.54800000000000004</c:v>
                </c:pt>
                <c:pt idx="89">
                  <c:v>0.53300000000000003</c:v>
                </c:pt>
                <c:pt idx="90">
                  <c:v>0.53500000000000003</c:v>
                </c:pt>
                <c:pt idx="91">
                  <c:v>0.54</c:v>
                </c:pt>
                <c:pt idx="92">
                  <c:v>0.52700000000000002</c:v>
                </c:pt>
                <c:pt idx="93">
                  <c:v>0.53300000000000003</c:v>
                </c:pt>
                <c:pt idx="94">
                  <c:v>0.52600000000000002</c:v>
                </c:pt>
                <c:pt idx="95">
                  <c:v>0.51900000000000002</c:v>
                </c:pt>
                <c:pt idx="96">
                  <c:v>0.52900000000000003</c:v>
                </c:pt>
                <c:pt idx="97">
                  <c:v>0.52300000000000002</c:v>
                </c:pt>
                <c:pt idx="98">
                  <c:v>0.47300000000000031</c:v>
                </c:pt>
                <c:pt idx="99">
                  <c:v>0.43400000000000111</c:v>
                </c:pt>
                <c:pt idx="100">
                  <c:v>0.44</c:v>
                </c:pt>
                <c:pt idx="101">
                  <c:v>0.44800000000000001</c:v>
                </c:pt>
                <c:pt idx="102">
                  <c:v>0.38900000000000123</c:v>
                </c:pt>
                <c:pt idx="103">
                  <c:v>0.39800000000000146</c:v>
                </c:pt>
                <c:pt idx="104">
                  <c:v>0.40500000000000008</c:v>
                </c:pt>
                <c:pt idx="105">
                  <c:v>0.45900000000000002</c:v>
                </c:pt>
                <c:pt idx="106">
                  <c:v>0.43700000000000111</c:v>
                </c:pt>
                <c:pt idx="107">
                  <c:v>0.47900000000000031</c:v>
                </c:pt>
                <c:pt idx="108">
                  <c:v>0.45400000000000001</c:v>
                </c:pt>
                <c:pt idx="109">
                  <c:v>0.45</c:v>
                </c:pt>
                <c:pt idx="110">
                  <c:v>0.46600000000000008</c:v>
                </c:pt>
                <c:pt idx="111">
                  <c:v>0.44500000000000001</c:v>
                </c:pt>
                <c:pt idx="112">
                  <c:v>0.42000000000000032</c:v>
                </c:pt>
                <c:pt idx="113">
                  <c:v>0.42600000000000032</c:v>
                </c:pt>
                <c:pt idx="114">
                  <c:v>0.48900000000000032</c:v>
                </c:pt>
                <c:pt idx="115">
                  <c:v>0.51</c:v>
                </c:pt>
                <c:pt idx="116">
                  <c:v>0.51</c:v>
                </c:pt>
                <c:pt idx="117">
                  <c:v>0.51400000000000001</c:v>
                </c:pt>
                <c:pt idx="118">
                  <c:v>0.45900000000000002</c:v>
                </c:pt>
                <c:pt idx="119">
                  <c:v>0.48800000000000032</c:v>
                </c:pt>
                <c:pt idx="120">
                  <c:v>0.441</c:v>
                </c:pt>
                <c:pt idx="121">
                  <c:v>0.46500000000000002</c:v>
                </c:pt>
                <c:pt idx="122">
                  <c:v>0.441</c:v>
                </c:pt>
                <c:pt idx="123">
                  <c:v>0.45300000000000001</c:v>
                </c:pt>
                <c:pt idx="124">
                  <c:v>0.44600000000000001</c:v>
                </c:pt>
                <c:pt idx="125">
                  <c:v>0.46100000000000002</c:v>
                </c:pt>
                <c:pt idx="126">
                  <c:v>0.45500000000000002</c:v>
                </c:pt>
                <c:pt idx="127">
                  <c:v>0.442</c:v>
                </c:pt>
                <c:pt idx="128">
                  <c:v>0.41300000000000031</c:v>
                </c:pt>
                <c:pt idx="129">
                  <c:v>0.41700000000000031</c:v>
                </c:pt>
                <c:pt idx="130">
                  <c:v>0.43300000000000038</c:v>
                </c:pt>
                <c:pt idx="131">
                  <c:v>0.43600000000000111</c:v>
                </c:pt>
                <c:pt idx="132">
                  <c:v>0.43100000000000038</c:v>
                </c:pt>
                <c:pt idx="133">
                  <c:v>0.42600000000000032</c:v>
                </c:pt>
                <c:pt idx="134">
                  <c:v>0.40100000000000002</c:v>
                </c:pt>
                <c:pt idx="135">
                  <c:v>0.39300000000000146</c:v>
                </c:pt>
                <c:pt idx="136">
                  <c:v>0.37900000000000122</c:v>
                </c:pt>
                <c:pt idx="137">
                  <c:v>0.40300000000000002</c:v>
                </c:pt>
                <c:pt idx="138">
                  <c:v>0.41800000000000032</c:v>
                </c:pt>
                <c:pt idx="139">
                  <c:v>0.39800000000000146</c:v>
                </c:pt>
                <c:pt idx="140">
                  <c:v>0.37200000000000111</c:v>
                </c:pt>
                <c:pt idx="141">
                  <c:v>0.37000000000000038</c:v>
                </c:pt>
                <c:pt idx="142">
                  <c:v>0.35500000000000032</c:v>
                </c:pt>
                <c:pt idx="143">
                  <c:v>0.33800000000000147</c:v>
                </c:pt>
                <c:pt idx="144">
                  <c:v>0.30800000000000038</c:v>
                </c:pt>
                <c:pt idx="145">
                  <c:v>0.31300000000000111</c:v>
                </c:pt>
                <c:pt idx="146">
                  <c:v>0.28300000000000008</c:v>
                </c:pt>
                <c:pt idx="147">
                  <c:v>0.25800000000000001</c:v>
                </c:pt>
                <c:pt idx="148">
                  <c:v>0.23500000000000001</c:v>
                </c:pt>
                <c:pt idx="149">
                  <c:v>0.21400000000000041</c:v>
                </c:pt>
                <c:pt idx="150">
                  <c:v>0.18100000000000024</c:v>
                </c:pt>
                <c:pt idx="151">
                  <c:v>0.15500000000000044</c:v>
                </c:pt>
                <c:pt idx="152">
                  <c:v>0.20400000000000001</c:v>
                </c:pt>
                <c:pt idx="153">
                  <c:v>0.18400000000000041</c:v>
                </c:pt>
                <c:pt idx="154">
                  <c:v>0.17500000000000004</c:v>
                </c:pt>
                <c:pt idx="155">
                  <c:v>0.17600000000000021</c:v>
                </c:pt>
                <c:pt idx="156">
                  <c:v>0.15500000000000044</c:v>
                </c:pt>
                <c:pt idx="157">
                  <c:v>0.16800000000000001</c:v>
                </c:pt>
                <c:pt idx="158">
                  <c:v>8.2000000000000003E-2</c:v>
                </c:pt>
                <c:pt idx="159">
                  <c:v>0.12000000000000002</c:v>
                </c:pt>
                <c:pt idx="160">
                  <c:v>7.5000000000000011E-2</c:v>
                </c:pt>
                <c:pt idx="161">
                  <c:v>0.111</c:v>
                </c:pt>
                <c:pt idx="162">
                  <c:v>9.0000000000000024E-2</c:v>
                </c:pt>
                <c:pt idx="163">
                  <c:v>5.9000000000000191E-2</c:v>
                </c:pt>
                <c:pt idx="164">
                  <c:v>8.4000000000000047E-2</c:v>
                </c:pt>
                <c:pt idx="165">
                  <c:v>6.6000000000000003E-2</c:v>
                </c:pt>
                <c:pt idx="166">
                  <c:v>5.9000000000000191E-2</c:v>
                </c:pt>
                <c:pt idx="167">
                  <c:v>2.0000000000000011E-2</c:v>
                </c:pt>
                <c:pt idx="168">
                  <c:v>8.0000000000000227E-3</c:v>
                </c:pt>
                <c:pt idx="169">
                  <c:v>-4.5000000000000012E-2</c:v>
                </c:pt>
                <c:pt idx="170">
                  <c:v>-6.8000000000000019E-2</c:v>
                </c:pt>
                <c:pt idx="171">
                  <c:v>-2.3E-2</c:v>
                </c:pt>
                <c:pt idx="172">
                  <c:v>-3.0000000000000092E-3</c:v>
                </c:pt>
                <c:pt idx="173">
                  <c:v>1.4E-2</c:v>
                </c:pt>
                <c:pt idx="174">
                  <c:v>0.05</c:v>
                </c:pt>
                <c:pt idx="175">
                  <c:v>8.8000000000000064E-2</c:v>
                </c:pt>
                <c:pt idx="176">
                  <c:v>0.129</c:v>
                </c:pt>
                <c:pt idx="177">
                  <c:v>8.2000000000000003E-2</c:v>
                </c:pt>
                <c:pt idx="178">
                  <c:v>7.3999999999999996E-2</c:v>
                </c:pt>
                <c:pt idx="179">
                  <c:v>2.1999999999999999E-2</c:v>
                </c:pt>
                <c:pt idx="180">
                  <c:v>3.0000000000000092E-3</c:v>
                </c:pt>
                <c:pt idx="181">
                  <c:v>-1.2E-2</c:v>
                </c:pt>
                <c:pt idx="182">
                  <c:v>-2.7000000000000097E-2</c:v>
                </c:pt>
                <c:pt idx="183">
                  <c:v>-2.7000000000000097E-2</c:v>
                </c:pt>
                <c:pt idx="184">
                  <c:v>-5.7000000000000023E-2</c:v>
                </c:pt>
                <c:pt idx="185">
                  <c:v>-4.9000000000000113E-2</c:v>
                </c:pt>
                <c:pt idx="186">
                  <c:v>-6.2000000000000034E-2</c:v>
                </c:pt>
                <c:pt idx="187">
                  <c:v>-8.4000000000000047E-2</c:v>
                </c:pt>
                <c:pt idx="188">
                  <c:v>-8.6000000000000021E-2</c:v>
                </c:pt>
                <c:pt idx="189">
                  <c:v>-0.127</c:v>
                </c:pt>
                <c:pt idx="190">
                  <c:v>-0.126</c:v>
                </c:pt>
                <c:pt idx="191">
                  <c:v>-0.17400000000000004</c:v>
                </c:pt>
                <c:pt idx="192">
                  <c:v>-0.17300000000000001</c:v>
                </c:pt>
                <c:pt idx="193">
                  <c:v>-0.20100000000000001</c:v>
                </c:pt>
                <c:pt idx="194">
                  <c:v>-0.27300000000000002</c:v>
                </c:pt>
                <c:pt idx="195">
                  <c:v>-0.24000000000000021</c:v>
                </c:pt>
                <c:pt idx="196">
                  <c:v>-0.224</c:v>
                </c:pt>
                <c:pt idx="197">
                  <c:v>-0.24000000000000021</c:v>
                </c:pt>
                <c:pt idx="198">
                  <c:v>-0.27</c:v>
                </c:pt>
                <c:pt idx="199">
                  <c:v>-0.32600000000000123</c:v>
                </c:pt>
                <c:pt idx="200">
                  <c:v>-0.39100000000000135</c:v>
                </c:pt>
                <c:pt idx="201">
                  <c:v>-0.36800000000000038</c:v>
                </c:pt>
                <c:pt idx="202">
                  <c:v>-0.31900000000000123</c:v>
                </c:pt>
                <c:pt idx="203">
                  <c:v>-0.35800000000000032</c:v>
                </c:pt>
                <c:pt idx="204">
                  <c:v>-0.34100000000000008</c:v>
                </c:pt>
                <c:pt idx="205">
                  <c:v>-0.30200000000000032</c:v>
                </c:pt>
                <c:pt idx="206">
                  <c:v>-0.32500000000000123</c:v>
                </c:pt>
                <c:pt idx="207">
                  <c:v>-0.32500000000000123</c:v>
                </c:pt>
                <c:pt idx="208">
                  <c:v>-0.36000000000000032</c:v>
                </c:pt>
                <c:pt idx="209">
                  <c:v>-0.37900000000000122</c:v>
                </c:pt>
                <c:pt idx="210">
                  <c:v>-0.35200000000000031</c:v>
                </c:pt>
                <c:pt idx="211">
                  <c:v>-0.35200000000000031</c:v>
                </c:pt>
                <c:pt idx="212">
                  <c:v>-0.34500000000000008</c:v>
                </c:pt>
                <c:pt idx="213">
                  <c:v>-0.35300000000000031</c:v>
                </c:pt>
                <c:pt idx="214">
                  <c:v>-0.33800000000000147</c:v>
                </c:pt>
                <c:pt idx="215">
                  <c:v>-0.251</c:v>
                </c:pt>
                <c:pt idx="216">
                  <c:v>-0.29900000000000032</c:v>
                </c:pt>
                <c:pt idx="217">
                  <c:v>-0.23600000000000004</c:v>
                </c:pt>
                <c:pt idx="218">
                  <c:v>-0.19500000000000001</c:v>
                </c:pt>
                <c:pt idx="219">
                  <c:v>-0.21500000000000041</c:v>
                </c:pt>
                <c:pt idx="220">
                  <c:v>-0.191</c:v>
                </c:pt>
                <c:pt idx="221">
                  <c:v>-0.127</c:v>
                </c:pt>
                <c:pt idx="222">
                  <c:v>-0.15800000000000058</c:v>
                </c:pt>
                <c:pt idx="223">
                  <c:v>-0.13900000000000001</c:v>
                </c:pt>
                <c:pt idx="224">
                  <c:v>-0.18800000000000044</c:v>
                </c:pt>
                <c:pt idx="225">
                  <c:v>-0.18000000000000024</c:v>
                </c:pt>
                <c:pt idx="226">
                  <c:v>-0.18400000000000041</c:v>
                </c:pt>
                <c:pt idx="227">
                  <c:v>-0.25700000000000001</c:v>
                </c:pt>
                <c:pt idx="228">
                  <c:v>-0.26800000000000002</c:v>
                </c:pt>
                <c:pt idx="229">
                  <c:v>-0.24500000000000041</c:v>
                </c:pt>
                <c:pt idx="230">
                  <c:v>-0.27200000000000002</c:v>
                </c:pt>
                <c:pt idx="231">
                  <c:v>-0.26800000000000002</c:v>
                </c:pt>
                <c:pt idx="232">
                  <c:v>-0.26400000000000001</c:v>
                </c:pt>
                <c:pt idx="233">
                  <c:v>-0.24900000000000044</c:v>
                </c:pt>
                <c:pt idx="234">
                  <c:v>-0.21900000000000044</c:v>
                </c:pt>
                <c:pt idx="235">
                  <c:v>-0.26100000000000001</c:v>
                </c:pt>
                <c:pt idx="236">
                  <c:v>-0.254</c:v>
                </c:pt>
                <c:pt idx="237">
                  <c:v>-0.24700000000000041</c:v>
                </c:pt>
                <c:pt idx="238">
                  <c:v>-0.27400000000000002</c:v>
                </c:pt>
                <c:pt idx="239">
                  <c:v>-0.23700000000000004</c:v>
                </c:pt>
                <c:pt idx="240">
                  <c:v>-0.16</c:v>
                </c:pt>
                <c:pt idx="241">
                  <c:v>-0.15400000000000041</c:v>
                </c:pt>
                <c:pt idx="242">
                  <c:v>-0.16800000000000001</c:v>
                </c:pt>
                <c:pt idx="243">
                  <c:v>-0.13900000000000001</c:v>
                </c:pt>
                <c:pt idx="244">
                  <c:v>-0.111</c:v>
                </c:pt>
                <c:pt idx="245">
                  <c:v>-0.127</c:v>
                </c:pt>
                <c:pt idx="246">
                  <c:v>-0.10800000000000012</c:v>
                </c:pt>
                <c:pt idx="247">
                  <c:v>-0.05</c:v>
                </c:pt>
                <c:pt idx="248">
                  <c:v>-7.3999999999999996E-2</c:v>
                </c:pt>
                <c:pt idx="249">
                  <c:v>-0.10500000000000002</c:v>
                </c:pt>
                <c:pt idx="250">
                  <c:v>-0.127</c:v>
                </c:pt>
                <c:pt idx="251">
                  <c:v>-8.2000000000000003E-2</c:v>
                </c:pt>
                <c:pt idx="252">
                  <c:v>-4.2000000000000023E-2</c:v>
                </c:pt>
                <c:pt idx="253">
                  <c:v>-6.2000000000000034E-2</c:v>
                </c:pt>
                <c:pt idx="254">
                  <c:v>-6.5000000000000002E-2</c:v>
                </c:pt>
                <c:pt idx="255">
                  <c:v>-0.10800000000000012</c:v>
                </c:pt>
              </c:numCache>
            </c:numRef>
          </c:val>
        </c:ser>
        <c:ser>
          <c:idx val="1"/>
          <c:order val="1"/>
          <c:tx>
            <c:strRef>
              <c:f>'ΣΤΟΙΧΕΙΑ ΓΙΑ ΠΡΟΥΠ 2018'!$C$2</c:f>
              <c:strCache>
                <c:ptCount val="1"/>
                <c:pt idx="0">
                  <c:v>ΓΑΛΛΙΑ</c:v>
                </c:pt>
              </c:strCache>
            </c:strRef>
          </c:tx>
          <c:spPr>
            <a:ln>
              <a:solidFill>
                <a:srgbClr val="7030A0"/>
              </a:solidFill>
            </a:ln>
          </c:spPr>
          <c:marker>
            <c:symbol val="none"/>
          </c:marker>
          <c:cat>
            <c:numRef>
              <c:f>'ΣΤΟΙΧΕΙΑ ΓΙΑ ΠΡΟΥΠ 2018'!$A$3:$A$1535</c:f>
              <c:numCache>
                <c:formatCode>d/m/yyyy</c:formatCode>
                <c:ptCount val="256"/>
                <c:pt idx="0">
                  <c:v>43404</c:v>
                </c:pt>
                <c:pt idx="1">
                  <c:v>43405</c:v>
                </c:pt>
                <c:pt idx="2">
                  <c:v>43406</c:v>
                </c:pt>
                <c:pt idx="3">
                  <c:v>43409</c:v>
                </c:pt>
                <c:pt idx="4">
                  <c:v>43410</c:v>
                </c:pt>
                <c:pt idx="5">
                  <c:v>43411</c:v>
                </c:pt>
                <c:pt idx="6">
                  <c:v>43412</c:v>
                </c:pt>
                <c:pt idx="7">
                  <c:v>43413</c:v>
                </c:pt>
                <c:pt idx="8">
                  <c:v>43416</c:v>
                </c:pt>
                <c:pt idx="9">
                  <c:v>43417</c:v>
                </c:pt>
                <c:pt idx="10">
                  <c:v>43418</c:v>
                </c:pt>
                <c:pt idx="11">
                  <c:v>43419</c:v>
                </c:pt>
                <c:pt idx="12">
                  <c:v>43420</c:v>
                </c:pt>
                <c:pt idx="13">
                  <c:v>43423</c:v>
                </c:pt>
                <c:pt idx="14">
                  <c:v>43424</c:v>
                </c:pt>
                <c:pt idx="15">
                  <c:v>43425</c:v>
                </c:pt>
                <c:pt idx="16">
                  <c:v>43426</c:v>
                </c:pt>
                <c:pt idx="17">
                  <c:v>43427</c:v>
                </c:pt>
                <c:pt idx="18">
                  <c:v>43430</c:v>
                </c:pt>
                <c:pt idx="19">
                  <c:v>43431</c:v>
                </c:pt>
                <c:pt idx="20">
                  <c:v>43432</c:v>
                </c:pt>
                <c:pt idx="21">
                  <c:v>43433</c:v>
                </c:pt>
                <c:pt idx="22">
                  <c:v>43434</c:v>
                </c:pt>
                <c:pt idx="23">
                  <c:v>43437</c:v>
                </c:pt>
                <c:pt idx="24">
                  <c:v>43438</c:v>
                </c:pt>
                <c:pt idx="25">
                  <c:v>43439</c:v>
                </c:pt>
                <c:pt idx="26">
                  <c:v>43440</c:v>
                </c:pt>
                <c:pt idx="27">
                  <c:v>43441</c:v>
                </c:pt>
                <c:pt idx="28">
                  <c:v>43444</c:v>
                </c:pt>
                <c:pt idx="29">
                  <c:v>43445</c:v>
                </c:pt>
                <c:pt idx="30">
                  <c:v>43446</c:v>
                </c:pt>
                <c:pt idx="31">
                  <c:v>43447</c:v>
                </c:pt>
                <c:pt idx="32">
                  <c:v>43448</c:v>
                </c:pt>
                <c:pt idx="33">
                  <c:v>43451</c:v>
                </c:pt>
                <c:pt idx="34">
                  <c:v>43452</c:v>
                </c:pt>
                <c:pt idx="35">
                  <c:v>43453</c:v>
                </c:pt>
                <c:pt idx="36">
                  <c:v>43454</c:v>
                </c:pt>
                <c:pt idx="37">
                  <c:v>43455</c:v>
                </c:pt>
                <c:pt idx="38">
                  <c:v>43458</c:v>
                </c:pt>
                <c:pt idx="39">
                  <c:v>43461</c:v>
                </c:pt>
                <c:pt idx="40">
                  <c:v>43462</c:v>
                </c:pt>
                <c:pt idx="41">
                  <c:v>43465</c:v>
                </c:pt>
                <c:pt idx="42">
                  <c:v>43467</c:v>
                </c:pt>
                <c:pt idx="43">
                  <c:v>43468</c:v>
                </c:pt>
                <c:pt idx="44">
                  <c:v>43469</c:v>
                </c:pt>
                <c:pt idx="45">
                  <c:v>43472</c:v>
                </c:pt>
                <c:pt idx="46">
                  <c:v>43473</c:v>
                </c:pt>
                <c:pt idx="47">
                  <c:v>43474</c:v>
                </c:pt>
                <c:pt idx="48">
                  <c:v>43475</c:v>
                </c:pt>
                <c:pt idx="49">
                  <c:v>43476</c:v>
                </c:pt>
                <c:pt idx="50">
                  <c:v>43479</c:v>
                </c:pt>
                <c:pt idx="51">
                  <c:v>43480</c:v>
                </c:pt>
                <c:pt idx="52">
                  <c:v>43481</c:v>
                </c:pt>
                <c:pt idx="53">
                  <c:v>43482</c:v>
                </c:pt>
                <c:pt idx="54">
                  <c:v>43483</c:v>
                </c:pt>
                <c:pt idx="55">
                  <c:v>43486</c:v>
                </c:pt>
                <c:pt idx="56">
                  <c:v>43487</c:v>
                </c:pt>
                <c:pt idx="57">
                  <c:v>43488</c:v>
                </c:pt>
                <c:pt idx="58">
                  <c:v>43489</c:v>
                </c:pt>
                <c:pt idx="59">
                  <c:v>43490</c:v>
                </c:pt>
                <c:pt idx="60">
                  <c:v>43493</c:v>
                </c:pt>
                <c:pt idx="61">
                  <c:v>43494</c:v>
                </c:pt>
                <c:pt idx="62">
                  <c:v>43495</c:v>
                </c:pt>
                <c:pt idx="63">
                  <c:v>43496</c:v>
                </c:pt>
                <c:pt idx="64">
                  <c:v>43497</c:v>
                </c:pt>
                <c:pt idx="65">
                  <c:v>43500</c:v>
                </c:pt>
                <c:pt idx="66">
                  <c:v>43501</c:v>
                </c:pt>
                <c:pt idx="67">
                  <c:v>43502</c:v>
                </c:pt>
                <c:pt idx="68">
                  <c:v>43503</c:v>
                </c:pt>
                <c:pt idx="69">
                  <c:v>43504</c:v>
                </c:pt>
                <c:pt idx="70">
                  <c:v>43507</c:v>
                </c:pt>
                <c:pt idx="71">
                  <c:v>43508</c:v>
                </c:pt>
                <c:pt idx="72">
                  <c:v>43509</c:v>
                </c:pt>
                <c:pt idx="73">
                  <c:v>43510</c:v>
                </c:pt>
                <c:pt idx="74">
                  <c:v>43511</c:v>
                </c:pt>
                <c:pt idx="75">
                  <c:v>43514</c:v>
                </c:pt>
                <c:pt idx="76">
                  <c:v>43515</c:v>
                </c:pt>
                <c:pt idx="77">
                  <c:v>43516</c:v>
                </c:pt>
                <c:pt idx="78">
                  <c:v>43517</c:v>
                </c:pt>
                <c:pt idx="79">
                  <c:v>43518</c:v>
                </c:pt>
                <c:pt idx="80">
                  <c:v>43521</c:v>
                </c:pt>
                <c:pt idx="81">
                  <c:v>43522</c:v>
                </c:pt>
                <c:pt idx="82">
                  <c:v>43523</c:v>
                </c:pt>
                <c:pt idx="83">
                  <c:v>43524</c:v>
                </c:pt>
                <c:pt idx="84">
                  <c:v>43525</c:v>
                </c:pt>
                <c:pt idx="85">
                  <c:v>43528</c:v>
                </c:pt>
                <c:pt idx="86">
                  <c:v>43529</c:v>
                </c:pt>
                <c:pt idx="87">
                  <c:v>43530</c:v>
                </c:pt>
                <c:pt idx="88">
                  <c:v>43531</c:v>
                </c:pt>
                <c:pt idx="89">
                  <c:v>43532</c:v>
                </c:pt>
                <c:pt idx="90">
                  <c:v>43535</c:v>
                </c:pt>
                <c:pt idx="91">
                  <c:v>43536</c:v>
                </c:pt>
                <c:pt idx="92">
                  <c:v>43537</c:v>
                </c:pt>
                <c:pt idx="93">
                  <c:v>43538</c:v>
                </c:pt>
                <c:pt idx="94">
                  <c:v>43539</c:v>
                </c:pt>
                <c:pt idx="95">
                  <c:v>43542</c:v>
                </c:pt>
                <c:pt idx="96">
                  <c:v>43543</c:v>
                </c:pt>
                <c:pt idx="97">
                  <c:v>43544</c:v>
                </c:pt>
                <c:pt idx="98">
                  <c:v>43545</c:v>
                </c:pt>
                <c:pt idx="99">
                  <c:v>43546</c:v>
                </c:pt>
                <c:pt idx="100">
                  <c:v>43549</c:v>
                </c:pt>
                <c:pt idx="101">
                  <c:v>43550</c:v>
                </c:pt>
                <c:pt idx="102">
                  <c:v>43551</c:v>
                </c:pt>
                <c:pt idx="103">
                  <c:v>43552</c:v>
                </c:pt>
                <c:pt idx="104">
                  <c:v>43553</c:v>
                </c:pt>
                <c:pt idx="105">
                  <c:v>43556</c:v>
                </c:pt>
                <c:pt idx="106">
                  <c:v>43557</c:v>
                </c:pt>
                <c:pt idx="107">
                  <c:v>43558</c:v>
                </c:pt>
                <c:pt idx="108">
                  <c:v>43559</c:v>
                </c:pt>
                <c:pt idx="109">
                  <c:v>43560</c:v>
                </c:pt>
                <c:pt idx="110">
                  <c:v>43563</c:v>
                </c:pt>
                <c:pt idx="111">
                  <c:v>43564</c:v>
                </c:pt>
                <c:pt idx="112">
                  <c:v>43565</c:v>
                </c:pt>
                <c:pt idx="113">
                  <c:v>43566</c:v>
                </c:pt>
                <c:pt idx="114">
                  <c:v>43567</c:v>
                </c:pt>
                <c:pt idx="115">
                  <c:v>43570</c:v>
                </c:pt>
                <c:pt idx="116">
                  <c:v>43571</c:v>
                </c:pt>
                <c:pt idx="117">
                  <c:v>43572</c:v>
                </c:pt>
                <c:pt idx="118">
                  <c:v>43573</c:v>
                </c:pt>
                <c:pt idx="119">
                  <c:v>43578</c:v>
                </c:pt>
                <c:pt idx="120">
                  <c:v>43579</c:v>
                </c:pt>
                <c:pt idx="121">
                  <c:v>43580</c:v>
                </c:pt>
                <c:pt idx="122">
                  <c:v>43581</c:v>
                </c:pt>
                <c:pt idx="123">
                  <c:v>43584</c:v>
                </c:pt>
                <c:pt idx="124">
                  <c:v>43585</c:v>
                </c:pt>
                <c:pt idx="125">
                  <c:v>43587</c:v>
                </c:pt>
                <c:pt idx="126">
                  <c:v>43588</c:v>
                </c:pt>
                <c:pt idx="127">
                  <c:v>43591</c:v>
                </c:pt>
                <c:pt idx="128">
                  <c:v>43592</c:v>
                </c:pt>
                <c:pt idx="129">
                  <c:v>43593</c:v>
                </c:pt>
                <c:pt idx="130">
                  <c:v>43594</c:v>
                </c:pt>
                <c:pt idx="131">
                  <c:v>43595</c:v>
                </c:pt>
                <c:pt idx="132">
                  <c:v>43598</c:v>
                </c:pt>
                <c:pt idx="133">
                  <c:v>43599</c:v>
                </c:pt>
                <c:pt idx="134">
                  <c:v>43600</c:v>
                </c:pt>
                <c:pt idx="135">
                  <c:v>43601</c:v>
                </c:pt>
                <c:pt idx="136">
                  <c:v>43602</c:v>
                </c:pt>
                <c:pt idx="137">
                  <c:v>43605</c:v>
                </c:pt>
                <c:pt idx="138">
                  <c:v>43606</c:v>
                </c:pt>
                <c:pt idx="139">
                  <c:v>43607</c:v>
                </c:pt>
                <c:pt idx="140">
                  <c:v>43608</c:v>
                </c:pt>
                <c:pt idx="141">
                  <c:v>43609</c:v>
                </c:pt>
                <c:pt idx="142">
                  <c:v>43612</c:v>
                </c:pt>
                <c:pt idx="143">
                  <c:v>43613</c:v>
                </c:pt>
                <c:pt idx="144">
                  <c:v>43614</c:v>
                </c:pt>
                <c:pt idx="145">
                  <c:v>43615</c:v>
                </c:pt>
                <c:pt idx="146">
                  <c:v>43616</c:v>
                </c:pt>
                <c:pt idx="147">
                  <c:v>43619</c:v>
                </c:pt>
                <c:pt idx="148">
                  <c:v>43620</c:v>
                </c:pt>
                <c:pt idx="149">
                  <c:v>43621</c:v>
                </c:pt>
                <c:pt idx="150">
                  <c:v>43622</c:v>
                </c:pt>
                <c:pt idx="151">
                  <c:v>43623</c:v>
                </c:pt>
                <c:pt idx="152">
                  <c:v>43626</c:v>
                </c:pt>
                <c:pt idx="153">
                  <c:v>43627</c:v>
                </c:pt>
                <c:pt idx="154">
                  <c:v>43628</c:v>
                </c:pt>
                <c:pt idx="155">
                  <c:v>43629</c:v>
                </c:pt>
                <c:pt idx="156">
                  <c:v>43630</c:v>
                </c:pt>
                <c:pt idx="157">
                  <c:v>43633</c:v>
                </c:pt>
                <c:pt idx="158">
                  <c:v>43634</c:v>
                </c:pt>
                <c:pt idx="159">
                  <c:v>43635</c:v>
                </c:pt>
                <c:pt idx="160">
                  <c:v>43636</c:v>
                </c:pt>
                <c:pt idx="161">
                  <c:v>43637</c:v>
                </c:pt>
                <c:pt idx="162">
                  <c:v>43640</c:v>
                </c:pt>
                <c:pt idx="163">
                  <c:v>43641</c:v>
                </c:pt>
                <c:pt idx="164">
                  <c:v>43642</c:v>
                </c:pt>
                <c:pt idx="165">
                  <c:v>43643</c:v>
                </c:pt>
                <c:pt idx="166">
                  <c:v>43644</c:v>
                </c:pt>
                <c:pt idx="167">
                  <c:v>43647</c:v>
                </c:pt>
                <c:pt idx="168">
                  <c:v>43648</c:v>
                </c:pt>
                <c:pt idx="169">
                  <c:v>43649</c:v>
                </c:pt>
                <c:pt idx="170">
                  <c:v>43650</c:v>
                </c:pt>
                <c:pt idx="171">
                  <c:v>43651</c:v>
                </c:pt>
                <c:pt idx="172">
                  <c:v>43654</c:v>
                </c:pt>
                <c:pt idx="173">
                  <c:v>43655</c:v>
                </c:pt>
                <c:pt idx="174">
                  <c:v>43656</c:v>
                </c:pt>
                <c:pt idx="175">
                  <c:v>43657</c:v>
                </c:pt>
                <c:pt idx="176">
                  <c:v>43658</c:v>
                </c:pt>
                <c:pt idx="177">
                  <c:v>43661</c:v>
                </c:pt>
                <c:pt idx="178">
                  <c:v>43662</c:v>
                </c:pt>
                <c:pt idx="179">
                  <c:v>43663</c:v>
                </c:pt>
                <c:pt idx="180">
                  <c:v>43664</c:v>
                </c:pt>
                <c:pt idx="181">
                  <c:v>43665</c:v>
                </c:pt>
                <c:pt idx="182">
                  <c:v>43668</c:v>
                </c:pt>
                <c:pt idx="183">
                  <c:v>43669</c:v>
                </c:pt>
                <c:pt idx="184">
                  <c:v>43670</c:v>
                </c:pt>
                <c:pt idx="185">
                  <c:v>43671</c:v>
                </c:pt>
                <c:pt idx="186">
                  <c:v>43672</c:v>
                </c:pt>
                <c:pt idx="187">
                  <c:v>43675</c:v>
                </c:pt>
                <c:pt idx="188">
                  <c:v>43676</c:v>
                </c:pt>
                <c:pt idx="189">
                  <c:v>43677</c:v>
                </c:pt>
                <c:pt idx="190">
                  <c:v>43678</c:v>
                </c:pt>
                <c:pt idx="191">
                  <c:v>43679</c:v>
                </c:pt>
                <c:pt idx="192">
                  <c:v>43682</c:v>
                </c:pt>
                <c:pt idx="193">
                  <c:v>43683</c:v>
                </c:pt>
                <c:pt idx="194">
                  <c:v>43684</c:v>
                </c:pt>
                <c:pt idx="195">
                  <c:v>43685</c:v>
                </c:pt>
                <c:pt idx="196">
                  <c:v>43686</c:v>
                </c:pt>
                <c:pt idx="197">
                  <c:v>43689</c:v>
                </c:pt>
                <c:pt idx="198">
                  <c:v>43690</c:v>
                </c:pt>
                <c:pt idx="199">
                  <c:v>43691</c:v>
                </c:pt>
                <c:pt idx="200">
                  <c:v>43692</c:v>
                </c:pt>
                <c:pt idx="201">
                  <c:v>43693</c:v>
                </c:pt>
                <c:pt idx="202">
                  <c:v>43696</c:v>
                </c:pt>
                <c:pt idx="203">
                  <c:v>43697</c:v>
                </c:pt>
                <c:pt idx="204">
                  <c:v>43698</c:v>
                </c:pt>
                <c:pt idx="205">
                  <c:v>43699</c:v>
                </c:pt>
                <c:pt idx="206">
                  <c:v>43700</c:v>
                </c:pt>
                <c:pt idx="207">
                  <c:v>43703</c:v>
                </c:pt>
                <c:pt idx="208">
                  <c:v>43704</c:v>
                </c:pt>
                <c:pt idx="209">
                  <c:v>43705</c:v>
                </c:pt>
                <c:pt idx="210">
                  <c:v>43706</c:v>
                </c:pt>
                <c:pt idx="211">
                  <c:v>43707</c:v>
                </c:pt>
                <c:pt idx="212">
                  <c:v>43710</c:v>
                </c:pt>
                <c:pt idx="213">
                  <c:v>43711</c:v>
                </c:pt>
                <c:pt idx="214">
                  <c:v>43712</c:v>
                </c:pt>
                <c:pt idx="215">
                  <c:v>43713</c:v>
                </c:pt>
                <c:pt idx="216">
                  <c:v>43714</c:v>
                </c:pt>
                <c:pt idx="217">
                  <c:v>43717</c:v>
                </c:pt>
                <c:pt idx="218">
                  <c:v>43718</c:v>
                </c:pt>
                <c:pt idx="219">
                  <c:v>43719</c:v>
                </c:pt>
                <c:pt idx="220">
                  <c:v>43720</c:v>
                </c:pt>
                <c:pt idx="221">
                  <c:v>43721</c:v>
                </c:pt>
                <c:pt idx="222">
                  <c:v>43724</c:v>
                </c:pt>
                <c:pt idx="223">
                  <c:v>43725</c:v>
                </c:pt>
                <c:pt idx="224">
                  <c:v>43726</c:v>
                </c:pt>
                <c:pt idx="225">
                  <c:v>43727</c:v>
                </c:pt>
                <c:pt idx="226">
                  <c:v>43728</c:v>
                </c:pt>
                <c:pt idx="227">
                  <c:v>43731</c:v>
                </c:pt>
                <c:pt idx="228">
                  <c:v>43732</c:v>
                </c:pt>
                <c:pt idx="229">
                  <c:v>43733</c:v>
                </c:pt>
                <c:pt idx="230">
                  <c:v>43734</c:v>
                </c:pt>
                <c:pt idx="231">
                  <c:v>43735</c:v>
                </c:pt>
                <c:pt idx="232">
                  <c:v>43738</c:v>
                </c:pt>
                <c:pt idx="233">
                  <c:v>43739</c:v>
                </c:pt>
                <c:pt idx="234">
                  <c:v>43740</c:v>
                </c:pt>
                <c:pt idx="235">
                  <c:v>43741</c:v>
                </c:pt>
                <c:pt idx="236">
                  <c:v>43742</c:v>
                </c:pt>
                <c:pt idx="237">
                  <c:v>43745</c:v>
                </c:pt>
                <c:pt idx="238">
                  <c:v>43746</c:v>
                </c:pt>
                <c:pt idx="239">
                  <c:v>43747</c:v>
                </c:pt>
                <c:pt idx="240">
                  <c:v>43748</c:v>
                </c:pt>
                <c:pt idx="241">
                  <c:v>43749</c:v>
                </c:pt>
                <c:pt idx="242">
                  <c:v>43752</c:v>
                </c:pt>
                <c:pt idx="243">
                  <c:v>43753</c:v>
                </c:pt>
                <c:pt idx="244">
                  <c:v>43754</c:v>
                </c:pt>
                <c:pt idx="245">
                  <c:v>43755</c:v>
                </c:pt>
                <c:pt idx="246">
                  <c:v>43756</c:v>
                </c:pt>
                <c:pt idx="247">
                  <c:v>43759</c:v>
                </c:pt>
                <c:pt idx="248">
                  <c:v>43760</c:v>
                </c:pt>
                <c:pt idx="249">
                  <c:v>43761</c:v>
                </c:pt>
                <c:pt idx="250">
                  <c:v>43762</c:v>
                </c:pt>
                <c:pt idx="251">
                  <c:v>43763</c:v>
                </c:pt>
                <c:pt idx="252">
                  <c:v>43766</c:v>
                </c:pt>
                <c:pt idx="253">
                  <c:v>43767</c:v>
                </c:pt>
                <c:pt idx="254">
                  <c:v>43768</c:v>
                </c:pt>
                <c:pt idx="255">
                  <c:v>43769</c:v>
                </c:pt>
              </c:numCache>
            </c:numRef>
          </c:cat>
          <c:val>
            <c:numRef>
              <c:f>'ΣΤΟΙΧΕΙΑ ΓΙΑ ΠΡΟΥΠ 2018'!$C$3:$C$1535</c:f>
              <c:numCache>
                <c:formatCode>General</c:formatCode>
                <c:ptCount val="256"/>
                <c:pt idx="0">
                  <c:v>0.74700000000000222</c:v>
                </c:pt>
                <c:pt idx="1">
                  <c:v>0.75500000000000245</c:v>
                </c:pt>
                <c:pt idx="2">
                  <c:v>0.77900000000000291</c:v>
                </c:pt>
                <c:pt idx="3">
                  <c:v>0.78700000000000003</c:v>
                </c:pt>
                <c:pt idx="4">
                  <c:v>0.79900000000000004</c:v>
                </c:pt>
                <c:pt idx="5">
                  <c:v>0.80900000000000005</c:v>
                </c:pt>
                <c:pt idx="6">
                  <c:v>0.81699999999999995</c:v>
                </c:pt>
                <c:pt idx="7">
                  <c:v>0.78300000000000003</c:v>
                </c:pt>
                <c:pt idx="8">
                  <c:v>0.7760000000000028</c:v>
                </c:pt>
                <c:pt idx="9">
                  <c:v>0.78100000000000003</c:v>
                </c:pt>
                <c:pt idx="10">
                  <c:v>0.77800000000000291</c:v>
                </c:pt>
                <c:pt idx="11">
                  <c:v>0.74700000000000222</c:v>
                </c:pt>
                <c:pt idx="12">
                  <c:v>0.76000000000000245</c:v>
                </c:pt>
                <c:pt idx="13">
                  <c:v>0.7760000000000028</c:v>
                </c:pt>
                <c:pt idx="14">
                  <c:v>0.75300000000000245</c:v>
                </c:pt>
                <c:pt idx="15">
                  <c:v>0.76100000000000245</c:v>
                </c:pt>
                <c:pt idx="16">
                  <c:v>0.74800000000000222</c:v>
                </c:pt>
                <c:pt idx="17">
                  <c:v>0.71800000000000064</c:v>
                </c:pt>
                <c:pt idx="18">
                  <c:v>0.73600000000000065</c:v>
                </c:pt>
                <c:pt idx="19">
                  <c:v>0.72600000000000064</c:v>
                </c:pt>
                <c:pt idx="20">
                  <c:v>0.72700000000000065</c:v>
                </c:pt>
                <c:pt idx="21">
                  <c:v>0.69299999999999995</c:v>
                </c:pt>
                <c:pt idx="22">
                  <c:v>0.68100000000000005</c:v>
                </c:pt>
                <c:pt idx="23">
                  <c:v>0.69000000000000061</c:v>
                </c:pt>
                <c:pt idx="24">
                  <c:v>0.66200000000000292</c:v>
                </c:pt>
                <c:pt idx="25">
                  <c:v>0.67400000000000293</c:v>
                </c:pt>
                <c:pt idx="26">
                  <c:v>0.65900000000000292</c:v>
                </c:pt>
                <c:pt idx="27">
                  <c:v>0.68200000000000005</c:v>
                </c:pt>
                <c:pt idx="28">
                  <c:v>0.68799999999999994</c:v>
                </c:pt>
                <c:pt idx="29">
                  <c:v>0.70900000000000063</c:v>
                </c:pt>
                <c:pt idx="30">
                  <c:v>0.72600000000000064</c:v>
                </c:pt>
                <c:pt idx="31">
                  <c:v>0.72700000000000065</c:v>
                </c:pt>
                <c:pt idx="32">
                  <c:v>0.70600000000000063</c:v>
                </c:pt>
                <c:pt idx="33">
                  <c:v>0.73100000000000065</c:v>
                </c:pt>
                <c:pt idx="34">
                  <c:v>0.70600000000000063</c:v>
                </c:pt>
                <c:pt idx="35">
                  <c:v>0.69799999999999995</c:v>
                </c:pt>
                <c:pt idx="36">
                  <c:v>0.67100000000000293</c:v>
                </c:pt>
                <c:pt idx="37">
                  <c:v>0.68899999999999995</c:v>
                </c:pt>
                <c:pt idx="38">
                  <c:v>0.68899999999999995</c:v>
                </c:pt>
                <c:pt idx="39">
                  <c:v>0.68600000000000005</c:v>
                </c:pt>
                <c:pt idx="40">
                  <c:v>0.69899999999999995</c:v>
                </c:pt>
                <c:pt idx="41">
                  <c:v>0.69899999999999995</c:v>
                </c:pt>
                <c:pt idx="42">
                  <c:v>0.64600000000000246</c:v>
                </c:pt>
                <c:pt idx="43">
                  <c:v>0.64800000000000246</c:v>
                </c:pt>
                <c:pt idx="44">
                  <c:v>0.69399999999999995</c:v>
                </c:pt>
                <c:pt idx="45">
                  <c:v>0.72100000000000064</c:v>
                </c:pt>
                <c:pt idx="46">
                  <c:v>0.72800000000000065</c:v>
                </c:pt>
                <c:pt idx="47">
                  <c:v>0.71000000000000063</c:v>
                </c:pt>
                <c:pt idx="48">
                  <c:v>0.67000000000000293</c:v>
                </c:pt>
                <c:pt idx="49">
                  <c:v>0.65900000000000292</c:v>
                </c:pt>
                <c:pt idx="50">
                  <c:v>0.63400000000000245</c:v>
                </c:pt>
                <c:pt idx="51">
                  <c:v>0.62000000000000222</c:v>
                </c:pt>
                <c:pt idx="52">
                  <c:v>0.63200000000000245</c:v>
                </c:pt>
                <c:pt idx="53">
                  <c:v>0.63900000000000245</c:v>
                </c:pt>
                <c:pt idx="54">
                  <c:v>0.65700000000000292</c:v>
                </c:pt>
                <c:pt idx="55">
                  <c:v>0.65200000000000291</c:v>
                </c:pt>
                <c:pt idx="56">
                  <c:v>0.64000000000000246</c:v>
                </c:pt>
                <c:pt idx="57">
                  <c:v>0.63100000000000245</c:v>
                </c:pt>
                <c:pt idx="58">
                  <c:v>0.58099999999999996</c:v>
                </c:pt>
                <c:pt idx="59">
                  <c:v>0.59299999999999997</c:v>
                </c:pt>
                <c:pt idx="60">
                  <c:v>0.60300000000000065</c:v>
                </c:pt>
                <c:pt idx="61">
                  <c:v>0.60600000000000065</c:v>
                </c:pt>
                <c:pt idx="62">
                  <c:v>0.59099999999999997</c:v>
                </c:pt>
                <c:pt idx="63">
                  <c:v>0.55100000000000005</c:v>
                </c:pt>
                <c:pt idx="64">
                  <c:v>0.56899999999999995</c:v>
                </c:pt>
                <c:pt idx="65">
                  <c:v>0.57900000000000063</c:v>
                </c:pt>
                <c:pt idx="66">
                  <c:v>0.57800000000000062</c:v>
                </c:pt>
                <c:pt idx="67">
                  <c:v>0.57199999999999995</c:v>
                </c:pt>
                <c:pt idx="68">
                  <c:v>0.54600000000000004</c:v>
                </c:pt>
                <c:pt idx="69">
                  <c:v>0.53700000000000003</c:v>
                </c:pt>
                <c:pt idx="70">
                  <c:v>0.56200000000000061</c:v>
                </c:pt>
                <c:pt idx="71">
                  <c:v>0.56200000000000061</c:v>
                </c:pt>
                <c:pt idx="72">
                  <c:v>0.54800000000000004</c:v>
                </c:pt>
                <c:pt idx="73">
                  <c:v>0.52500000000000002</c:v>
                </c:pt>
                <c:pt idx="74">
                  <c:v>0.53400000000000003</c:v>
                </c:pt>
                <c:pt idx="75">
                  <c:v>0.54100000000000004</c:v>
                </c:pt>
                <c:pt idx="76">
                  <c:v>0.53</c:v>
                </c:pt>
                <c:pt idx="77">
                  <c:v>0.52200000000000002</c:v>
                </c:pt>
                <c:pt idx="78">
                  <c:v>0.53900000000000003</c:v>
                </c:pt>
                <c:pt idx="79">
                  <c:v>0.51300000000000001</c:v>
                </c:pt>
                <c:pt idx="80">
                  <c:v>0.52</c:v>
                </c:pt>
                <c:pt idx="81">
                  <c:v>0.52200000000000002</c:v>
                </c:pt>
                <c:pt idx="82">
                  <c:v>0.54800000000000004</c:v>
                </c:pt>
                <c:pt idx="83">
                  <c:v>0.56699999999999995</c:v>
                </c:pt>
                <c:pt idx="84">
                  <c:v>0.57600000000000062</c:v>
                </c:pt>
                <c:pt idx="85">
                  <c:v>0.55500000000000005</c:v>
                </c:pt>
                <c:pt idx="86">
                  <c:v>0.55700000000000005</c:v>
                </c:pt>
                <c:pt idx="87">
                  <c:v>0.50900000000000001</c:v>
                </c:pt>
                <c:pt idx="88">
                  <c:v>0.41900000000000032</c:v>
                </c:pt>
                <c:pt idx="89">
                  <c:v>0.40300000000000002</c:v>
                </c:pt>
                <c:pt idx="90">
                  <c:v>0.40500000000000008</c:v>
                </c:pt>
                <c:pt idx="91">
                  <c:v>0.46800000000000008</c:v>
                </c:pt>
                <c:pt idx="92">
                  <c:v>0.45900000000000002</c:v>
                </c:pt>
                <c:pt idx="93">
                  <c:v>0.46300000000000002</c:v>
                </c:pt>
                <c:pt idx="94">
                  <c:v>0.45500000000000002</c:v>
                </c:pt>
                <c:pt idx="95">
                  <c:v>0.45100000000000001</c:v>
                </c:pt>
                <c:pt idx="96">
                  <c:v>0.46300000000000002</c:v>
                </c:pt>
                <c:pt idx="97">
                  <c:v>0.45500000000000002</c:v>
                </c:pt>
                <c:pt idx="98">
                  <c:v>0.39800000000000146</c:v>
                </c:pt>
                <c:pt idx="99">
                  <c:v>0.35000000000000031</c:v>
                </c:pt>
                <c:pt idx="100">
                  <c:v>0.35100000000000031</c:v>
                </c:pt>
                <c:pt idx="101">
                  <c:v>0.35200000000000031</c:v>
                </c:pt>
                <c:pt idx="102">
                  <c:v>0.29600000000000032</c:v>
                </c:pt>
                <c:pt idx="103">
                  <c:v>0.30800000000000038</c:v>
                </c:pt>
                <c:pt idx="104">
                  <c:v>0.31400000000000111</c:v>
                </c:pt>
                <c:pt idx="105">
                  <c:v>0.36900000000000038</c:v>
                </c:pt>
                <c:pt idx="106">
                  <c:v>0.35000000000000031</c:v>
                </c:pt>
                <c:pt idx="107">
                  <c:v>0.39300000000000146</c:v>
                </c:pt>
                <c:pt idx="108">
                  <c:v>0.36300000000000032</c:v>
                </c:pt>
                <c:pt idx="109">
                  <c:v>0.35800000000000032</c:v>
                </c:pt>
                <c:pt idx="110">
                  <c:v>0.35900000000000032</c:v>
                </c:pt>
                <c:pt idx="111">
                  <c:v>0.33900000000000147</c:v>
                </c:pt>
                <c:pt idx="112">
                  <c:v>0.31900000000000123</c:v>
                </c:pt>
                <c:pt idx="113">
                  <c:v>0.32700000000000123</c:v>
                </c:pt>
                <c:pt idx="114">
                  <c:v>0.39600000000000146</c:v>
                </c:pt>
                <c:pt idx="115">
                  <c:v>0.41500000000000031</c:v>
                </c:pt>
                <c:pt idx="116">
                  <c:v>0.41600000000000031</c:v>
                </c:pt>
                <c:pt idx="117">
                  <c:v>0.42000000000000032</c:v>
                </c:pt>
                <c:pt idx="118">
                  <c:v>0.36500000000000032</c:v>
                </c:pt>
                <c:pt idx="119">
                  <c:v>0.39100000000000135</c:v>
                </c:pt>
                <c:pt idx="120">
                  <c:v>0.34400000000000008</c:v>
                </c:pt>
                <c:pt idx="121">
                  <c:v>0.36700000000000038</c:v>
                </c:pt>
                <c:pt idx="122">
                  <c:v>0.34800000000000031</c:v>
                </c:pt>
                <c:pt idx="123">
                  <c:v>0.36300000000000032</c:v>
                </c:pt>
                <c:pt idx="124">
                  <c:v>0.36400000000000032</c:v>
                </c:pt>
                <c:pt idx="125">
                  <c:v>0.37100000000000088</c:v>
                </c:pt>
                <c:pt idx="126">
                  <c:v>0.36900000000000038</c:v>
                </c:pt>
                <c:pt idx="127">
                  <c:v>0.35200000000000031</c:v>
                </c:pt>
                <c:pt idx="128">
                  <c:v>0.32400000000000123</c:v>
                </c:pt>
                <c:pt idx="129">
                  <c:v>0.32800000000000124</c:v>
                </c:pt>
                <c:pt idx="130">
                  <c:v>0.34100000000000008</c:v>
                </c:pt>
                <c:pt idx="131">
                  <c:v>0.34400000000000008</c:v>
                </c:pt>
                <c:pt idx="132">
                  <c:v>0.3290000000000014</c:v>
                </c:pt>
                <c:pt idx="133">
                  <c:v>0.32400000000000123</c:v>
                </c:pt>
                <c:pt idx="134">
                  <c:v>0.30100000000000032</c:v>
                </c:pt>
                <c:pt idx="135">
                  <c:v>0.29200000000000031</c:v>
                </c:pt>
                <c:pt idx="136">
                  <c:v>0.28300000000000008</c:v>
                </c:pt>
                <c:pt idx="137">
                  <c:v>0.30700000000000038</c:v>
                </c:pt>
                <c:pt idx="138">
                  <c:v>0.32400000000000123</c:v>
                </c:pt>
                <c:pt idx="139">
                  <c:v>0.30400000000000038</c:v>
                </c:pt>
                <c:pt idx="140">
                  <c:v>0.27900000000000008</c:v>
                </c:pt>
                <c:pt idx="141">
                  <c:v>0.27900000000000008</c:v>
                </c:pt>
                <c:pt idx="142">
                  <c:v>0.25700000000000001</c:v>
                </c:pt>
                <c:pt idx="143">
                  <c:v>0.24600000000000041</c:v>
                </c:pt>
                <c:pt idx="144">
                  <c:v>0.223</c:v>
                </c:pt>
                <c:pt idx="145">
                  <c:v>0.23300000000000001</c:v>
                </c:pt>
                <c:pt idx="146">
                  <c:v>0.20500000000000004</c:v>
                </c:pt>
                <c:pt idx="147">
                  <c:v>0.19800000000000001</c:v>
                </c:pt>
                <c:pt idx="148">
                  <c:v>0.18000000000000024</c:v>
                </c:pt>
                <c:pt idx="149">
                  <c:v>0.15000000000000024</c:v>
                </c:pt>
                <c:pt idx="150">
                  <c:v>0.111</c:v>
                </c:pt>
                <c:pt idx="151">
                  <c:v>8.1000000000000003E-2</c:v>
                </c:pt>
                <c:pt idx="152">
                  <c:v>0.13400000000000001</c:v>
                </c:pt>
                <c:pt idx="153">
                  <c:v>0.11600000000000002</c:v>
                </c:pt>
                <c:pt idx="154">
                  <c:v>0.11</c:v>
                </c:pt>
                <c:pt idx="155">
                  <c:v>0.10800000000000012</c:v>
                </c:pt>
                <c:pt idx="156">
                  <c:v>9.1000000000000025E-2</c:v>
                </c:pt>
                <c:pt idx="157">
                  <c:v>0.10400000000000002</c:v>
                </c:pt>
                <c:pt idx="158">
                  <c:v>5.0000000000000114E-3</c:v>
                </c:pt>
                <c:pt idx="159">
                  <c:v>4.5000000000000012E-2</c:v>
                </c:pt>
                <c:pt idx="160">
                  <c:v>9.0000000000000028E-3</c:v>
                </c:pt>
                <c:pt idx="161">
                  <c:v>4.3000000000000003E-2</c:v>
                </c:pt>
                <c:pt idx="162">
                  <c:v>2.0000000000000011E-2</c:v>
                </c:pt>
                <c:pt idx="163">
                  <c:v>-9.0000000000000028E-3</c:v>
                </c:pt>
                <c:pt idx="164">
                  <c:v>1.6000000000000021E-2</c:v>
                </c:pt>
                <c:pt idx="165">
                  <c:v>-4.0000000000000114E-3</c:v>
                </c:pt>
                <c:pt idx="166">
                  <c:v>-9.0000000000000028E-3</c:v>
                </c:pt>
                <c:pt idx="167">
                  <c:v>-5.3000000000000012E-2</c:v>
                </c:pt>
                <c:pt idx="168">
                  <c:v>-5.9000000000000191E-2</c:v>
                </c:pt>
                <c:pt idx="169">
                  <c:v>-0.10600000000000002</c:v>
                </c:pt>
                <c:pt idx="170">
                  <c:v>-0.13500000000000001</c:v>
                </c:pt>
                <c:pt idx="171">
                  <c:v>-9.1000000000000025E-2</c:v>
                </c:pt>
                <c:pt idx="172">
                  <c:v>-7.3000000000000009E-2</c:v>
                </c:pt>
                <c:pt idx="173">
                  <c:v>-5.7000000000000023E-2</c:v>
                </c:pt>
                <c:pt idx="174">
                  <c:v>-2.3E-2</c:v>
                </c:pt>
                <c:pt idx="175">
                  <c:v>1.2999999999999998E-2</c:v>
                </c:pt>
                <c:pt idx="176">
                  <c:v>5.6000000000000001E-2</c:v>
                </c:pt>
                <c:pt idx="177">
                  <c:v>7.0000000000000114E-3</c:v>
                </c:pt>
                <c:pt idx="178">
                  <c:v>4.0000000000000114E-3</c:v>
                </c:pt>
                <c:pt idx="179">
                  <c:v>-4.1000000000000002E-2</c:v>
                </c:pt>
                <c:pt idx="180">
                  <c:v>-6.5000000000000002E-2</c:v>
                </c:pt>
                <c:pt idx="181">
                  <c:v>-7.5000000000000011E-2</c:v>
                </c:pt>
                <c:pt idx="182">
                  <c:v>-8.8000000000000064E-2</c:v>
                </c:pt>
                <c:pt idx="183">
                  <c:v>-9.4000000000000028E-2</c:v>
                </c:pt>
                <c:pt idx="184">
                  <c:v>-0.12000000000000002</c:v>
                </c:pt>
                <c:pt idx="185">
                  <c:v>-0.114</c:v>
                </c:pt>
                <c:pt idx="186">
                  <c:v>-0.127</c:v>
                </c:pt>
                <c:pt idx="187">
                  <c:v>-0.14400000000000004</c:v>
                </c:pt>
                <c:pt idx="188">
                  <c:v>-0.14500000000000021</c:v>
                </c:pt>
                <c:pt idx="189">
                  <c:v>-0.18800000000000044</c:v>
                </c:pt>
                <c:pt idx="190">
                  <c:v>-0.19</c:v>
                </c:pt>
                <c:pt idx="191">
                  <c:v>-0.24200000000000021</c:v>
                </c:pt>
                <c:pt idx="192">
                  <c:v>-0.24000000000000021</c:v>
                </c:pt>
                <c:pt idx="193">
                  <c:v>-0.26800000000000002</c:v>
                </c:pt>
                <c:pt idx="194">
                  <c:v>-0.31700000000000123</c:v>
                </c:pt>
                <c:pt idx="195">
                  <c:v>-0.28600000000000031</c:v>
                </c:pt>
                <c:pt idx="196">
                  <c:v>-0.27400000000000002</c:v>
                </c:pt>
                <c:pt idx="197">
                  <c:v>-0.28900000000000031</c:v>
                </c:pt>
                <c:pt idx="198">
                  <c:v>-0.31900000000000123</c:v>
                </c:pt>
                <c:pt idx="199">
                  <c:v>-0.37500000000000111</c:v>
                </c:pt>
                <c:pt idx="200">
                  <c:v>-0.441</c:v>
                </c:pt>
                <c:pt idx="201">
                  <c:v>-0.42000000000000032</c:v>
                </c:pt>
                <c:pt idx="202">
                  <c:v>-0.37200000000000111</c:v>
                </c:pt>
                <c:pt idx="203">
                  <c:v>-0.41600000000000031</c:v>
                </c:pt>
                <c:pt idx="204">
                  <c:v>-0.40100000000000002</c:v>
                </c:pt>
                <c:pt idx="205">
                  <c:v>-0.36400000000000032</c:v>
                </c:pt>
                <c:pt idx="206">
                  <c:v>-0.37800000000000111</c:v>
                </c:pt>
                <c:pt idx="207">
                  <c:v>-0.37700000000000111</c:v>
                </c:pt>
                <c:pt idx="208">
                  <c:v>-0.41800000000000032</c:v>
                </c:pt>
                <c:pt idx="209">
                  <c:v>-0.43900000000000111</c:v>
                </c:pt>
                <c:pt idx="210">
                  <c:v>-0.41500000000000031</c:v>
                </c:pt>
                <c:pt idx="211">
                  <c:v>-0.40800000000000008</c:v>
                </c:pt>
                <c:pt idx="212">
                  <c:v>-0.40200000000000002</c:v>
                </c:pt>
                <c:pt idx="213">
                  <c:v>-0.40200000000000002</c:v>
                </c:pt>
                <c:pt idx="214">
                  <c:v>-0.37800000000000111</c:v>
                </c:pt>
                <c:pt idx="215">
                  <c:v>-0.29700000000000032</c:v>
                </c:pt>
                <c:pt idx="216">
                  <c:v>-0.34800000000000031</c:v>
                </c:pt>
                <c:pt idx="217">
                  <c:v>-0.28600000000000031</c:v>
                </c:pt>
                <c:pt idx="218">
                  <c:v>-0.24900000000000044</c:v>
                </c:pt>
                <c:pt idx="219">
                  <c:v>-0.26700000000000002</c:v>
                </c:pt>
                <c:pt idx="220">
                  <c:v>-0.24100000000000021</c:v>
                </c:pt>
                <c:pt idx="221">
                  <c:v>-0.17500000000000004</c:v>
                </c:pt>
                <c:pt idx="222">
                  <c:v>-0.20500000000000004</c:v>
                </c:pt>
                <c:pt idx="223">
                  <c:v>-0.18600000000000044</c:v>
                </c:pt>
                <c:pt idx="224">
                  <c:v>-0.23100000000000001</c:v>
                </c:pt>
                <c:pt idx="225">
                  <c:v>-0.222</c:v>
                </c:pt>
                <c:pt idx="226">
                  <c:v>-0.224</c:v>
                </c:pt>
                <c:pt idx="227">
                  <c:v>-0.29200000000000031</c:v>
                </c:pt>
                <c:pt idx="228">
                  <c:v>-0.30100000000000032</c:v>
                </c:pt>
                <c:pt idx="229">
                  <c:v>-0.27900000000000008</c:v>
                </c:pt>
                <c:pt idx="230">
                  <c:v>-0.29400000000000032</c:v>
                </c:pt>
                <c:pt idx="231">
                  <c:v>-0.28700000000000031</c:v>
                </c:pt>
                <c:pt idx="232">
                  <c:v>-0.28000000000000008</c:v>
                </c:pt>
                <c:pt idx="233">
                  <c:v>-0.26900000000000002</c:v>
                </c:pt>
                <c:pt idx="234">
                  <c:v>-0.251</c:v>
                </c:pt>
                <c:pt idx="235">
                  <c:v>-0.29200000000000031</c:v>
                </c:pt>
                <c:pt idx="236">
                  <c:v>-0.28600000000000031</c:v>
                </c:pt>
                <c:pt idx="237">
                  <c:v>-0.27700000000000002</c:v>
                </c:pt>
                <c:pt idx="238">
                  <c:v>-0.26200000000000001</c:v>
                </c:pt>
                <c:pt idx="239">
                  <c:v>-0.223</c:v>
                </c:pt>
                <c:pt idx="240">
                  <c:v>-0.14700000000000021</c:v>
                </c:pt>
                <c:pt idx="241">
                  <c:v>-0.13300000000000001</c:v>
                </c:pt>
                <c:pt idx="242">
                  <c:v>-0.14800000000000021</c:v>
                </c:pt>
                <c:pt idx="243">
                  <c:v>-0.125</c:v>
                </c:pt>
                <c:pt idx="244">
                  <c:v>-0.10299999999999998</c:v>
                </c:pt>
                <c:pt idx="245">
                  <c:v>-0.11899999999999998</c:v>
                </c:pt>
                <c:pt idx="246">
                  <c:v>-9.6000000000000002E-2</c:v>
                </c:pt>
                <c:pt idx="247">
                  <c:v>-4.5999999999999999E-2</c:v>
                </c:pt>
                <c:pt idx="248">
                  <c:v>-6.9000000000000034E-2</c:v>
                </c:pt>
                <c:pt idx="249">
                  <c:v>-9.5000000000000043E-2</c:v>
                </c:pt>
                <c:pt idx="250">
                  <c:v>-0.10900000000000012</c:v>
                </c:pt>
                <c:pt idx="251">
                  <c:v>-6.5000000000000002E-2</c:v>
                </c:pt>
                <c:pt idx="252">
                  <c:v>-3.2000000000000042E-2</c:v>
                </c:pt>
                <c:pt idx="253">
                  <c:v>-5.5000000000000014E-2</c:v>
                </c:pt>
                <c:pt idx="254">
                  <c:v>-6.1000000000000013E-2</c:v>
                </c:pt>
                <c:pt idx="255">
                  <c:v>-0.10199999999999998</c:v>
                </c:pt>
              </c:numCache>
            </c:numRef>
          </c:val>
        </c:ser>
        <c:ser>
          <c:idx val="2"/>
          <c:order val="2"/>
          <c:tx>
            <c:strRef>
              <c:f>'ΣΤΟΙΧΕΙΑ ΓΙΑ ΠΡΟΥΠ 2018'!$D$2</c:f>
              <c:strCache>
                <c:ptCount val="1"/>
                <c:pt idx="0">
                  <c:v>ΕΛΛΑΔΑ</c:v>
                </c:pt>
              </c:strCache>
            </c:strRef>
          </c:tx>
          <c:spPr>
            <a:ln>
              <a:solidFill>
                <a:srgbClr val="0070C0"/>
              </a:solidFill>
            </a:ln>
          </c:spPr>
          <c:marker>
            <c:symbol val="none"/>
          </c:marker>
          <c:cat>
            <c:numRef>
              <c:f>'ΣΤΟΙΧΕΙΑ ΓΙΑ ΠΡΟΥΠ 2018'!$A$3:$A$1535</c:f>
              <c:numCache>
                <c:formatCode>d/m/yyyy</c:formatCode>
                <c:ptCount val="256"/>
                <c:pt idx="0">
                  <c:v>43404</c:v>
                </c:pt>
                <c:pt idx="1">
                  <c:v>43405</c:v>
                </c:pt>
                <c:pt idx="2">
                  <c:v>43406</c:v>
                </c:pt>
                <c:pt idx="3">
                  <c:v>43409</c:v>
                </c:pt>
                <c:pt idx="4">
                  <c:v>43410</c:v>
                </c:pt>
                <c:pt idx="5">
                  <c:v>43411</c:v>
                </c:pt>
                <c:pt idx="6">
                  <c:v>43412</c:v>
                </c:pt>
                <c:pt idx="7">
                  <c:v>43413</c:v>
                </c:pt>
                <c:pt idx="8">
                  <c:v>43416</c:v>
                </c:pt>
                <c:pt idx="9">
                  <c:v>43417</c:v>
                </c:pt>
                <c:pt idx="10">
                  <c:v>43418</c:v>
                </c:pt>
                <c:pt idx="11">
                  <c:v>43419</c:v>
                </c:pt>
                <c:pt idx="12">
                  <c:v>43420</c:v>
                </c:pt>
                <c:pt idx="13">
                  <c:v>43423</c:v>
                </c:pt>
                <c:pt idx="14">
                  <c:v>43424</c:v>
                </c:pt>
                <c:pt idx="15">
                  <c:v>43425</c:v>
                </c:pt>
                <c:pt idx="16">
                  <c:v>43426</c:v>
                </c:pt>
                <c:pt idx="17">
                  <c:v>43427</c:v>
                </c:pt>
                <c:pt idx="18">
                  <c:v>43430</c:v>
                </c:pt>
                <c:pt idx="19">
                  <c:v>43431</c:v>
                </c:pt>
                <c:pt idx="20">
                  <c:v>43432</c:v>
                </c:pt>
                <c:pt idx="21">
                  <c:v>43433</c:v>
                </c:pt>
                <c:pt idx="22">
                  <c:v>43434</c:v>
                </c:pt>
                <c:pt idx="23">
                  <c:v>43437</c:v>
                </c:pt>
                <c:pt idx="24">
                  <c:v>43438</c:v>
                </c:pt>
                <c:pt idx="25">
                  <c:v>43439</c:v>
                </c:pt>
                <c:pt idx="26">
                  <c:v>43440</c:v>
                </c:pt>
                <c:pt idx="27">
                  <c:v>43441</c:v>
                </c:pt>
                <c:pt idx="28">
                  <c:v>43444</c:v>
                </c:pt>
                <c:pt idx="29">
                  <c:v>43445</c:v>
                </c:pt>
                <c:pt idx="30">
                  <c:v>43446</c:v>
                </c:pt>
                <c:pt idx="31">
                  <c:v>43447</c:v>
                </c:pt>
                <c:pt idx="32">
                  <c:v>43448</c:v>
                </c:pt>
                <c:pt idx="33">
                  <c:v>43451</c:v>
                </c:pt>
                <c:pt idx="34">
                  <c:v>43452</c:v>
                </c:pt>
                <c:pt idx="35">
                  <c:v>43453</c:v>
                </c:pt>
                <c:pt idx="36">
                  <c:v>43454</c:v>
                </c:pt>
                <c:pt idx="37">
                  <c:v>43455</c:v>
                </c:pt>
                <c:pt idx="38">
                  <c:v>43458</c:v>
                </c:pt>
                <c:pt idx="39">
                  <c:v>43461</c:v>
                </c:pt>
                <c:pt idx="40">
                  <c:v>43462</c:v>
                </c:pt>
                <c:pt idx="41">
                  <c:v>43465</c:v>
                </c:pt>
                <c:pt idx="42">
                  <c:v>43467</c:v>
                </c:pt>
                <c:pt idx="43">
                  <c:v>43468</c:v>
                </c:pt>
                <c:pt idx="44">
                  <c:v>43469</c:v>
                </c:pt>
                <c:pt idx="45">
                  <c:v>43472</c:v>
                </c:pt>
                <c:pt idx="46">
                  <c:v>43473</c:v>
                </c:pt>
                <c:pt idx="47">
                  <c:v>43474</c:v>
                </c:pt>
                <c:pt idx="48">
                  <c:v>43475</c:v>
                </c:pt>
                <c:pt idx="49">
                  <c:v>43476</c:v>
                </c:pt>
                <c:pt idx="50">
                  <c:v>43479</c:v>
                </c:pt>
                <c:pt idx="51">
                  <c:v>43480</c:v>
                </c:pt>
                <c:pt idx="52">
                  <c:v>43481</c:v>
                </c:pt>
                <c:pt idx="53">
                  <c:v>43482</c:v>
                </c:pt>
                <c:pt idx="54">
                  <c:v>43483</c:v>
                </c:pt>
                <c:pt idx="55">
                  <c:v>43486</c:v>
                </c:pt>
                <c:pt idx="56">
                  <c:v>43487</c:v>
                </c:pt>
                <c:pt idx="57">
                  <c:v>43488</c:v>
                </c:pt>
                <c:pt idx="58">
                  <c:v>43489</c:v>
                </c:pt>
                <c:pt idx="59">
                  <c:v>43490</c:v>
                </c:pt>
                <c:pt idx="60">
                  <c:v>43493</c:v>
                </c:pt>
                <c:pt idx="61">
                  <c:v>43494</c:v>
                </c:pt>
                <c:pt idx="62">
                  <c:v>43495</c:v>
                </c:pt>
                <c:pt idx="63">
                  <c:v>43496</c:v>
                </c:pt>
                <c:pt idx="64">
                  <c:v>43497</c:v>
                </c:pt>
                <c:pt idx="65">
                  <c:v>43500</c:v>
                </c:pt>
                <c:pt idx="66">
                  <c:v>43501</c:v>
                </c:pt>
                <c:pt idx="67">
                  <c:v>43502</c:v>
                </c:pt>
                <c:pt idx="68">
                  <c:v>43503</c:v>
                </c:pt>
                <c:pt idx="69">
                  <c:v>43504</c:v>
                </c:pt>
                <c:pt idx="70">
                  <c:v>43507</c:v>
                </c:pt>
                <c:pt idx="71">
                  <c:v>43508</c:v>
                </c:pt>
                <c:pt idx="72">
                  <c:v>43509</c:v>
                </c:pt>
                <c:pt idx="73">
                  <c:v>43510</c:v>
                </c:pt>
                <c:pt idx="74">
                  <c:v>43511</c:v>
                </c:pt>
                <c:pt idx="75">
                  <c:v>43514</c:v>
                </c:pt>
                <c:pt idx="76">
                  <c:v>43515</c:v>
                </c:pt>
                <c:pt idx="77">
                  <c:v>43516</c:v>
                </c:pt>
                <c:pt idx="78">
                  <c:v>43517</c:v>
                </c:pt>
                <c:pt idx="79">
                  <c:v>43518</c:v>
                </c:pt>
                <c:pt idx="80">
                  <c:v>43521</c:v>
                </c:pt>
                <c:pt idx="81">
                  <c:v>43522</c:v>
                </c:pt>
                <c:pt idx="82">
                  <c:v>43523</c:v>
                </c:pt>
                <c:pt idx="83">
                  <c:v>43524</c:v>
                </c:pt>
                <c:pt idx="84">
                  <c:v>43525</c:v>
                </c:pt>
                <c:pt idx="85">
                  <c:v>43528</c:v>
                </c:pt>
                <c:pt idx="86">
                  <c:v>43529</c:v>
                </c:pt>
                <c:pt idx="87">
                  <c:v>43530</c:v>
                </c:pt>
                <c:pt idx="88">
                  <c:v>43531</c:v>
                </c:pt>
                <c:pt idx="89">
                  <c:v>43532</c:v>
                </c:pt>
                <c:pt idx="90">
                  <c:v>43535</c:v>
                </c:pt>
                <c:pt idx="91">
                  <c:v>43536</c:v>
                </c:pt>
                <c:pt idx="92">
                  <c:v>43537</c:v>
                </c:pt>
                <c:pt idx="93">
                  <c:v>43538</c:v>
                </c:pt>
                <c:pt idx="94">
                  <c:v>43539</c:v>
                </c:pt>
                <c:pt idx="95">
                  <c:v>43542</c:v>
                </c:pt>
                <c:pt idx="96">
                  <c:v>43543</c:v>
                </c:pt>
                <c:pt idx="97">
                  <c:v>43544</c:v>
                </c:pt>
                <c:pt idx="98">
                  <c:v>43545</c:v>
                </c:pt>
                <c:pt idx="99">
                  <c:v>43546</c:v>
                </c:pt>
                <c:pt idx="100">
                  <c:v>43549</c:v>
                </c:pt>
                <c:pt idx="101">
                  <c:v>43550</c:v>
                </c:pt>
                <c:pt idx="102">
                  <c:v>43551</c:v>
                </c:pt>
                <c:pt idx="103">
                  <c:v>43552</c:v>
                </c:pt>
                <c:pt idx="104">
                  <c:v>43553</c:v>
                </c:pt>
                <c:pt idx="105">
                  <c:v>43556</c:v>
                </c:pt>
                <c:pt idx="106">
                  <c:v>43557</c:v>
                </c:pt>
                <c:pt idx="107">
                  <c:v>43558</c:v>
                </c:pt>
                <c:pt idx="108">
                  <c:v>43559</c:v>
                </c:pt>
                <c:pt idx="109">
                  <c:v>43560</c:v>
                </c:pt>
                <c:pt idx="110">
                  <c:v>43563</c:v>
                </c:pt>
                <c:pt idx="111">
                  <c:v>43564</c:v>
                </c:pt>
                <c:pt idx="112">
                  <c:v>43565</c:v>
                </c:pt>
                <c:pt idx="113">
                  <c:v>43566</c:v>
                </c:pt>
                <c:pt idx="114">
                  <c:v>43567</c:v>
                </c:pt>
                <c:pt idx="115">
                  <c:v>43570</c:v>
                </c:pt>
                <c:pt idx="116">
                  <c:v>43571</c:v>
                </c:pt>
                <c:pt idx="117">
                  <c:v>43572</c:v>
                </c:pt>
                <c:pt idx="118">
                  <c:v>43573</c:v>
                </c:pt>
                <c:pt idx="119">
                  <c:v>43578</c:v>
                </c:pt>
                <c:pt idx="120">
                  <c:v>43579</c:v>
                </c:pt>
                <c:pt idx="121">
                  <c:v>43580</c:v>
                </c:pt>
                <c:pt idx="122">
                  <c:v>43581</c:v>
                </c:pt>
                <c:pt idx="123">
                  <c:v>43584</c:v>
                </c:pt>
                <c:pt idx="124">
                  <c:v>43585</c:v>
                </c:pt>
                <c:pt idx="125">
                  <c:v>43587</c:v>
                </c:pt>
                <c:pt idx="126">
                  <c:v>43588</c:v>
                </c:pt>
                <c:pt idx="127">
                  <c:v>43591</c:v>
                </c:pt>
                <c:pt idx="128">
                  <c:v>43592</c:v>
                </c:pt>
                <c:pt idx="129">
                  <c:v>43593</c:v>
                </c:pt>
                <c:pt idx="130">
                  <c:v>43594</c:v>
                </c:pt>
                <c:pt idx="131">
                  <c:v>43595</c:v>
                </c:pt>
                <c:pt idx="132">
                  <c:v>43598</c:v>
                </c:pt>
                <c:pt idx="133">
                  <c:v>43599</c:v>
                </c:pt>
                <c:pt idx="134">
                  <c:v>43600</c:v>
                </c:pt>
                <c:pt idx="135">
                  <c:v>43601</c:v>
                </c:pt>
                <c:pt idx="136">
                  <c:v>43602</c:v>
                </c:pt>
                <c:pt idx="137">
                  <c:v>43605</c:v>
                </c:pt>
                <c:pt idx="138">
                  <c:v>43606</c:v>
                </c:pt>
                <c:pt idx="139">
                  <c:v>43607</c:v>
                </c:pt>
                <c:pt idx="140">
                  <c:v>43608</c:v>
                </c:pt>
                <c:pt idx="141">
                  <c:v>43609</c:v>
                </c:pt>
                <c:pt idx="142">
                  <c:v>43612</c:v>
                </c:pt>
                <c:pt idx="143">
                  <c:v>43613</c:v>
                </c:pt>
                <c:pt idx="144">
                  <c:v>43614</c:v>
                </c:pt>
                <c:pt idx="145">
                  <c:v>43615</c:v>
                </c:pt>
                <c:pt idx="146">
                  <c:v>43616</c:v>
                </c:pt>
                <c:pt idx="147">
                  <c:v>43619</c:v>
                </c:pt>
                <c:pt idx="148">
                  <c:v>43620</c:v>
                </c:pt>
                <c:pt idx="149">
                  <c:v>43621</c:v>
                </c:pt>
                <c:pt idx="150">
                  <c:v>43622</c:v>
                </c:pt>
                <c:pt idx="151">
                  <c:v>43623</c:v>
                </c:pt>
                <c:pt idx="152">
                  <c:v>43626</c:v>
                </c:pt>
                <c:pt idx="153">
                  <c:v>43627</c:v>
                </c:pt>
                <c:pt idx="154">
                  <c:v>43628</c:v>
                </c:pt>
                <c:pt idx="155">
                  <c:v>43629</c:v>
                </c:pt>
                <c:pt idx="156">
                  <c:v>43630</c:v>
                </c:pt>
                <c:pt idx="157">
                  <c:v>43633</c:v>
                </c:pt>
                <c:pt idx="158">
                  <c:v>43634</c:v>
                </c:pt>
                <c:pt idx="159">
                  <c:v>43635</c:v>
                </c:pt>
                <c:pt idx="160">
                  <c:v>43636</c:v>
                </c:pt>
                <c:pt idx="161">
                  <c:v>43637</c:v>
                </c:pt>
                <c:pt idx="162">
                  <c:v>43640</c:v>
                </c:pt>
                <c:pt idx="163">
                  <c:v>43641</c:v>
                </c:pt>
                <c:pt idx="164">
                  <c:v>43642</c:v>
                </c:pt>
                <c:pt idx="165">
                  <c:v>43643</c:v>
                </c:pt>
                <c:pt idx="166">
                  <c:v>43644</c:v>
                </c:pt>
                <c:pt idx="167">
                  <c:v>43647</c:v>
                </c:pt>
                <c:pt idx="168">
                  <c:v>43648</c:v>
                </c:pt>
                <c:pt idx="169">
                  <c:v>43649</c:v>
                </c:pt>
                <c:pt idx="170">
                  <c:v>43650</c:v>
                </c:pt>
                <c:pt idx="171">
                  <c:v>43651</c:v>
                </c:pt>
                <c:pt idx="172">
                  <c:v>43654</c:v>
                </c:pt>
                <c:pt idx="173">
                  <c:v>43655</c:v>
                </c:pt>
                <c:pt idx="174">
                  <c:v>43656</c:v>
                </c:pt>
                <c:pt idx="175">
                  <c:v>43657</c:v>
                </c:pt>
                <c:pt idx="176">
                  <c:v>43658</c:v>
                </c:pt>
                <c:pt idx="177">
                  <c:v>43661</c:v>
                </c:pt>
                <c:pt idx="178">
                  <c:v>43662</c:v>
                </c:pt>
                <c:pt idx="179">
                  <c:v>43663</c:v>
                </c:pt>
                <c:pt idx="180">
                  <c:v>43664</c:v>
                </c:pt>
                <c:pt idx="181">
                  <c:v>43665</c:v>
                </c:pt>
                <c:pt idx="182">
                  <c:v>43668</c:v>
                </c:pt>
                <c:pt idx="183">
                  <c:v>43669</c:v>
                </c:pt>
                <c:pt idx="184">
                  <c:v>43670</c:v>
                </c:pt>
                <c:pt idx="185">
                  <c:v>43671</c:v>
                </c:pt>
                <c:pt idx="186">
                  <c:v>43672</c:v>
                </c:pt>
                <c:pt idx="187">
                  <c:v>43675</c:v>
                </c:pt>
                <c:pt idx="188">
                  <c:v>43676</c:v>
                </c:pt>
                <c:pt idx="189">
                  <c:v>43677</c:v>
                </c:pt>
                <c:pt idx="190">
                  <c:v>43678</c:v>
                </c:pt>
                <c:pt idx="191">
                  <c:v>43679</c:v>
                </c:pt>
                <c:pt idx="192">
                  <c:v>43682</c:v>
                </c:pt>
                <c:pt idx="193">
                  <c:v>43683</c:v>
                </c:pt>
                <c:pt idx="194">
                  <c:v>43684</c:v>
                </c:pt>
                <c:pt idx="195">
                  <c:v>43685</c:v>
                </c:pt>
                <c:pt idx="196">
                  <c:v>43686</c:v>
                </c:pt>
                <c:pt idx="197">
                  <c:v>43689</c:v>
                </c:pt>
                <c:pt idx="198">
                  <c:v>43690</c:v>
                </c:pt>
                <c:pt idx="199">
                  <c:v>43691</c:v>
                </c:pt>
                <c:pt idx="200">
                  <c:v>43692</c:v>
                </c:pt>
                <c:pt idx="201">
                  <c:v>43693</c:v>
                </c:pt>
                <c:pt idx="202">
                  <c:v>43696</c:v>
                </c:pt>
                <c:pt idx="203">
                  <c:v>43697</c:v>
                </c:pt>
                <c:pt idx="204">
                  <c:v>43698</c:v>
                </c:pt>
                <c:pt idx="205">
                  <c:v>43699</c:v>
                </c:pt>
                <c:pt idx="206">
                  <c:v>43700</c:v>
                </c:pt>
                <c:pt idx="207">
                  <c:v>43703</c:v>
                </c:pt>
                <c:pt idx="208">
                  <c:v>43704</c:v>
                </c:pt>
                <c:pt idx="209">
                  <c:v>43705</c:v>
                </c:pt>
                <c:pt idx="210">
                  <c:v>43706</c:v>
                </c:pt>
                <c:pt idx="211">
                  <c:v>43707</c:v>
                </c:pt>
                <c:pt idx="212">
                  <c:v>43710</c:v>
                </c:pt>
                <c:pt idx="213">
                  <c:v>43711</c:v>
                </c:pt>
                <c:pt idx="214">
                  <c:v>43712</c:v>
                </c:pt>
                <c:pt idx="215">
                  <c:v>43713</c:v>
                </c:pt>
                <c:pt idx="216">
                  <c:v>43714</c:v>
                </c:pt>
                <c:pt idx="217">
                  <c:v>43717</c:v>
                </c:pt>
                <c:pt idx="218">
                  <c:v>43718</c:v>
                </c:pt>
                <c:pt idx="219">
                  <c:v>43719</c:v>
                </c:pt>
                <c:pt idx="220">
                  <c:v>43720</c:v>
                </c:pt>
                <c:pt idx="221">
                  <c:v>43721</c:v>
                </c:pt>
                <c:pt idx="222">
                  <c:v>43724</c:v>
                </c:pt>
                <c:pt idx="223">
                  <c:v>43725</c:v>
                </c:pt>
                <c:pt idx="224">
                  <c:v>43726</c:v>
                </c:pt>
                <c:pt idx="225">
                  <c:v>43727</c:v>
                </c:pt>
                <c:pt idx="226">
                  <c:v>43728</c:v>
                </c:pt>
                <c:pt idx="227">
                  <c:v>43731</c:v>
                </c:pt>
                <c:pt idx="228">
                  <c:v>43732</c:v>
                </c:pt>
                <c:pt idx="229">
                  <c:v>43733</c:v>
                </c:pt>
                <c:pt idx="230">
                  <c:v>43734</c:v>
                </c:pt>
                <c:pt idx="231">
                  <c:v>43735</c:v>
                </c:pt>
                <c:pt idx="232">
                  <c:v>43738</c:v>
                </c:pt>
                <c:pt idx="233">
                  <c:v>43739</c:v>
                </c:pt>
                <c:pt idx="234">
                  <c:v>43740</c:v>
                </c:pt>
                <c:pt idx="235">
                  <c:v>43741</c:v>
                </c:pt>
                <c:pt idx="236">
                  <c:v>43742</c:v>
                </c:pt>
                <c:pt idx="237">
                  <c:v>43745</c:v>
                </c:pt>
                <c:pt idx="238">
                  <c:v>43746</c:v>
                </c:pt>
                <c:pt idx="239">
                  <c:v>43747</c:v>
                </c:pt>
                <c:pt idx="240">
                  <c:v>43748</c:v>
                </c:pt>
                <c:pt idx="241">
                  <c:v>43749</c:v>
                </c:pt>
                <c:pt idx="242">
                  <c:v>43752</c:v>
                </c:pt>
                <c:pt idx="243">
                  <c:v>43753</c:v>
                </c:pt>
                <c:pt idx="244">
                  <c:v>43754</c:v>
                </c:pt>
                <c:pt idx="245">
                  <c:v>43755</c:v>
                </c:pt>
                <c:pt idx="246">
                  <c:v>43756</c:v>
                </c:pt>
                <c:pt idx="247">
                  <c:v>43759</c:v>
                </c:pt>
                <c:pt idx="248">
                  <c:v>43760</c:v>
                </c:pt>
                <c:pt idx="249">
                  <c:v>43761</c:v>
                </c:pt>
                <c:pt idx="250">
                  <c:v>43762</c:v>
                </c:pt>
                <c:pt idx="251">
                  <c:v>43763</c:v>
                </c:pt>
                <c:pt idx="252">
                  <c:v>43766</c:v>
                </c:pt>
                <c:pt idx="253">
                  <c:v>43767</c:v>
                </c:pt>
                <c:pt idx="254">
                  <c:v>43768</c:v>
                </c:pt>
                <c:pt idx="255">
                  <c:v>43769</c:v>
                </c:pt>
              </c:numCache>
            </c:numRef>
          </c:cat>
          <c:val>
            <c:numRef>
              <c:f>'ΣΤΟΙΧΕΙΑ ΓΙΑ ΠΡΟΥΠ 2018'!$D$3:$D$1535</c:f>
              <c:numCache>
                <c:formatCode>General</c:formatCode>
                <c:ptCount val="256"/>
                <c:pt idx="0">
                  <c:v>4.1899999999999995</c:v>
                </c:pt>
                <c:pt idx="1">
                  <c:v>4.1849999999999845</c:v>
                </c:pt>
                <c:pt idx="2">
                  <c:v>4.2389999999999999</c:v>
                </c:pt>
                <c:pt idx="3">
                  <c:v>4.2480000000000002</c:v>
                </c:pt>
                <c:pt idx="4">
                  <c:v>4.2830000000000004</c:v>
                </c:pt>
                <c:pt idx="5">
                  <c:v>4.2619999999999996</c:v>
                </c:pt>
                <c:pt idx="6">
                  <c:v>4.2919999999999998</c:v>
                </c:pt>
                <c:pt idx="7">
                  <c:v>4.3380000000000001</c:v>
                </c:pt>
                <c:pt idx="8">
                  <c:v>4.37</c:v>
                </c:pt>
                <c:pt idx="9">
                  <c:v>4.4000000000000004</c:v>
                </c:pt>
                <c:pt idx="10">
                  <c:v>4.4550000000000001</c:v>
                </c:pt>
                <c:pt idx="11">
                  <c:v>4.5330000000000004</c:v>
                </c:pt>
                <c:pt idx="12">
                  <c:v>4.5229999999999855</c:v>
                </c:pt>
                <c:pt idx="13">
                  <c:v>4.5199999999999996</c:v>
                </c:pt>
                <c:pt idx="14">
                  <c:v>4.6399999999999997</c:v>
                </c:pt>
                <c:pt idx="15">
                  <c:v>4.6049999999999818</c:v>
                </c:pt>
                <c:pt idx="16">
                  <c:v>4.5169999999999995</c:v>
                </c:pt>
                <c:pt idx="17">
                  <c:v>4.5179999999999945</c:v>
                </c:pt>
                <c:pt idx="18">
                  <c:v>4.3519999999999985</c:v>
                </c:pt>
                <c:pt idx="19">
                  <c:v>4.3079999999999945</c:v>
                </c:pt>
                <c:pt idx="20">
                  <c:v>4.298</c:v>
                </c:pt>
                <c:pt idx="21">
                  <c:v>4.2309999999999999</c:v>
                </c:pt>
                <c:pt idx="22">
                  <c:v>4.2300000000000004</c:v>
                </c:pt>
                <c:pt idx="23">
                  <c:v>4.1679999999999779</c:v>
                </c:pt>
                <c:pt idx="24">
                  <c:v>4.194999999999979</c:v>
                </c:pt>
                <c:pt idx="25">
                  <c:v>4.1139999999999946</c:v>
                </c:pt>
                <c:pt idx="26">
                  <c:v>4.2119999999999997</c:v>
                </c:pt>
                <c:pt idx="27">
                  <c:v>4.1890000000000001</c:v>
                </c:pt>
                <c:pt idx="28">
                  <c:v>4.2089999999999996</c:v>
                </c:pt>
                <c:pt idx="29">
                  <c:v>4.226</c:v>
                </c:pt>
                <c:pt idx="30">
                  <c:v>4.2290000000000001</c:v>
                </c:pt>
                <c:pt idx="31">
                  <c:v>4.1939999999999955</c:v>
                </c:pt>
                <c:pt idx="32">
                  <c:v>4.2030000000000003</c:v>
                </c:pt>
                <c:pt idx="33">
                  <c:v>4.3019999999999996</c:v>
                </c:pt>
                <c:pt idx="34">
                  <c:v>4.34</c:v>
                </c:pt>
                <c:pt idx="35">
                  <c:v>4.2510000000000003</c:v>
                </c:pt>
                <c:pt idx="36">
                  <c:v>4.25</c:v>
                </c:pt>
                <c:pt idx="37">
                  <c:v>4.3</c:v>
                </c:pt>
                <c:pt idx="38">
                  <c:v>4.266</c:v>
                </c:pt>
                <c:pt idx="39">
                  <c:v>4.34</c:v>
                </c:pt>
                <c:pt idx="40">
                  <c:v>4.3229999999999817</c:v>
                </c:pt>
                <c:pt idx="41">
                  <c:v>4.2939999999999996</c:v>
                </c:pt>
                <c:pt idx="42">
                  <c:v>4.3460000000000001</c:v>
                </c:pt>
                <c:pt idx="43">
                  <c:v>4.3659999999999846</c:v>
                </c:pt>
                <c:pt idx="44">
                  <c:v>4.3659999999999846</c:v>
                </c:pt>
                <c:pt idx="45">
                  <c:v>4.3380000000000001</c:v>
                </c:pt>
                <c:pt idx="46">
                  <c:v>4.3119999999999985</c:v>
                </c:pt>
                <c:pt idx="47">
                  <c:v>4.2699999999999996</c:v>
                </c:pt>
                <c:pt idx="48">
                  <c:v>4.28</c:v>
                </c:pt>
                <c:pt idx="49">
                  <c:v>4.26</c:v>
                </c:pt>
                <c:pt idx="50">
                  <c:v>4.2489999999999997</c:v>
                </c:pt>
                <c:pt idx="51">
                  <c:v>4.234</c:v>
                </c:pt>
                <c:pt idx="52">
                  <c:v>4.2</c:v>
                </c:pt>
                <c:pt idx="53">
                  <c:v>4.181</c:v>
                </c:pt>
                <c:pt idx="54">
                  <c:v>4.1529999999999845</c:v>
                </c:pt>
                <c:pt idx="55">
                  <c:v>4.1199999999999966</c:v>
                </c:pt>
                <c:pt idx="56">
                  <c:v>4.0960000000000001</c:v>
                </c:pt>
                <c:pt idx="57">
                  <c:v>4.1360000000000001</c:v>
                </c:pt>
                <c:pt idx="58">
                  <c:v>4.1029999999999855</c:v>
                </c:pt>
                <c:pt idx="59">
                  <c:v>4.0359999999999996</c:v>
                </c:pt>
                <c:pt idx="60">
                  <c:v>4.0199999999999996</c:v>
                </c:pt>
                <c:pt idx="61">
                  <c:v>3.9359999999999977</c:v>
                </c:pt>
                <c:pt idx="62">
                  <c:v>3.8849999999999998</c:v>
                </c:pt>
                <c:pt idx="63">
                  <c:v>3.8259999999999987</c:v>
                </c:pt>
                <c:pt idx="64">
                  <c:v>3.8809999999999998</c:v>
                </c:pt>
                <c:pt idx="65">
                  <c:v>3.863</c:v>
                </c:pt>
                <c:pt idx="66">
                  <c:v>3.8699999999999997</c:v>
                </c:pt>
                <c:pt idx="67">
                  <c:v>3.8709999999999987</c:v>
                </c:pt>
                <c:pt idx="68">
                  <c:v>3.968</c:v>
                </c:pt>
                <c:pt idx="69">
                  <c:v>3.988</c:v>
                </c:pt>
                <c:pt idx="70">
                  <c:v>3.984</c:v>
                </c:pt>
                <c:pt idx="71">
                  <c:v>3.9109999999999987</c:v>
                </c:pt>
                <c:pt idx="72">
                  <c:v>3.8779999999999997</c:v>
                </c:pt>
                <c:pt idx="73">
                  <c:v>3.8219999999999987</c:v>
                </c:pt>
                <c:pt idx="74">
                  <c:v>3.7800000000000002</c:v>
                </c:pt>
                <c:pt idx="75">
                  <c:v>3.7349999999999999</c:v>
                </c:pt>
                <c:pt idx="76">
                  <c:v>3.7359999999999998</c:v>
                </c:pt>
                <c:pt idx="77">
                  <c:v>3.7410000000000001</c:v>
                </c:pt>
                <c:pt idx="78">
                  <c:v>3.7640000000000002</c:v>
                </c:pt>
                <c:pt idx="79">
                  <c:v>3.7829999999999999</c:v>
                </c:pt>
                <c:pt idx="80">
                  <c:v>3.7480000000000002</c:v>
                </c:pt>
                <c:pt idx="81">
                  <c:v>3.6949999999999998</c:v>
                </c:pt>
                <c:pt idx="82">
                  <c:v>3.665</c:v>
                </c:pt>
                <c:pt idx="83">
                  <c:v>3.64</c:v>
                </c:pt>
                <c:pt idx="84">
                  <c:v>3.6159999999999997</c:v>
                </c:pt>
                <c:pt idx="85">
                  <c:v>3.6459999999999999</c:v>
                </c:pt>
                <c:pt idx="86">
                  <c:v>3.68</c:v>
                </c:pt>
                <c:pt idx="87">
                  <c:v>3.7210000000000001</c:v>
                </c:pt>
                <c:pt idx="88">
                  <c:v>3.7719999999999998</c:v>
                </c:pt>
                <c:pt idx="89">
                  <c:v>3.7410000000000001</c:v>
                </c:pt>
                <c:pt idx="90">
                  <c:v>3.68</c:v>
                </c:pt>
                <c:pt idx="91">
                  <c:v>3.86</c:v>
                </c:pt>
                <c:pt idx="92">
                  <c:v>3.8069999999999977</c:v>
                </c:pt>
                <c:pt idx="93">
                  <c:v>3.7949999999999999</c:v>
                </c:pt>
                <c:pt idx="94">
                  <c:v>3.7749999999999999</c:v>
                </c:pt>
                <c:pt idx="95">
                  <c:v>3.72</c:v>
                </c:pt>
                <c:pt idx="96">
                  <c:v>3.7330000000000001</c:v>
                </c:pt>
                <c:pt idx="97">
                  <c:v>3.7610000000000001</c:v>
                </c:pt>
                <c:pt idx="98">
                  <c:v>3.7109999999999999</c:v>
                </c:pt>
                <c:pt idx="99">
                  <c:v>3.7389999999999999</c:v>
                </c:pt>
                <c:pt idx="100">
                  <c:v>3.7450000000000001</c:v>
                </c:pt>
                <c:pt idx="101">
                  <c:v>3.7650000000000001</c:v>
                </c:pt>
                <c:pt idx="102">
                  <c:v>3.758</c:v>
                </c:pt>
                <c:pt idx="103">
                  <c:v>3.7600000000000002</c:v>
                </c:pt>
                <c:pt idx="104">
                  <c:v>3.7189999999999999</c:v>
                </c:pt>
                <c:pt idx="105">
                  <c:v>3.694</c:v>
                </c:pt>
                <c:pt idx="106">
                  <c:v>3.6709999999999998</c:v>
                </c:pt>
                <c:pt idx="107">
                  <c:v>3.63</c:v>
                </c:pt>
                <c:pt idx="108">
                  <c:v>3.593</c:v>
                </c:pt>
                <c:pt idx="109">
                  <c:v>3.51</c:v>
                </c:pt>
                <c:pt idx="110">
                  <c:v>3.4609999999999999</c:v>
                </c:pt>
                <c:pt idx="111">
                  <c:v>3.44</c:v>
                </c:pt>
                <c:pt idx="112">
                  <c:v>3.4009999999999998</c:v>
                </c:pt>
                <c:pt idx="113">
                  <c:v>3.3279999999999998</c:v>
                </c:pt>
                <c:pt idx="114">
                  <c:v>3.2730000000000001</c:v>
                </c:pt>
                <c:pt idx="115">
                  <c:v>3.266</c:v>
                </c:pt>
                <c:pt idx="116">
                  <c:v>3.2869999999999999</c:v>
                </c:pt>
                <c:pt idx="117">
                  <c:v>3.2970000000000002</c:v>
                </c:pt>
                <c:pt idx="118">
                  <c:v>3.2909999999999999</c:v>
                </c:pt>
                <c:pt idx="119">
                  <c:v>3.3009999999999997</c:v>
                </c:pt>
                <c:pt idx="120">
                  <c:v>3.2749999999999999</c:v>
                </c:pt>
                <c:pt idx="121">
                  <c:v>3.2789999999999999</c:v>
                </c:pt>
                <c:pt idx="122">
                  <c:v>3.278</c:v>
                </c:pt>
                <c:pt idx="123">
                  <c:v>3.2880000000000011</c:v>
                </c:pt>
                <c:pt idx="124">
                  <c:v>3.347</c:v>
                </c:pt>
                <c:pt idx="125">
                  <c:v>3.3219999999999987</c:v>
                </c:pt>
                <c:pt idx="126">
                  <c:v>3.323</c:v>
                </c:pt>
                <c:pt idx="127">
                  <c:v>3.323</c:v>
                </c:pt>
                <c:pt idx="128">
                  <c:v>3.3289999999999997</c:v>
                </c:pt>
                <c:pt idx="129">
                  <c:v>3.4169999999999967</c:v>
                </c:pt>
                <c:pt idx="130">
                  <c:v>3.5129999999999977</c:v>
                </c:pt>
                <c:pt idx="131">
                  <c:v>3.4909999999999997</c:v>
                </c:pt>
                <c:pt idx="132">
                  <c:v>3.5349999999999997</c:v>
                </c:pt>
                <c:pt idx="133">
                  <c:v>3.5359999999999987</c:v>
                </c:pt>
                <c:pt idx="134">
                  <c:v>3.5319999999999987</c:v>
                </c:pt>
                <c:pt idx="135">
                  <c:v>3.4379999999999997</c:v>
                </c:pt>
                <c:pt idx="136">
                  <c:v>3.407</c:v>
                </c:pt>
                <c:pt idx="137">
                  <c:v>3.3989999999999987</c:v>
                </c:pt>
                <c:pt idx="138">
                  <c:v>3.36</c:v>
                </c:pt>
                <c:pt idx="139">
                  <c:v>3.3849999999999998</c:v>
                </c:pt>
                <c:pt idx="140">
                  <c:v>3.403</c:v>
                </c:pt>
                <c:pt idx="141">
                  <c:v>3.3339999999999987</c:v>
                </c:pt>
                <c:pt idx="142">
                  <c:v>3.085</c:v>
                </c:pt>
                <c:pt idx="143">
                  <c:v>3.1469999999999998</c:v>
                </c:pt>
                <c:pt idx="144">
                  <c:v>3.105</c:v>
                </c:pt>
                <c:pt idx="145">
                  <c:v>3.03</c:v>
                </c:pt>
                <c:pt idx="146">
                  <c:v>2.8719999999999977</c:v>
                </c:pt>
                <c:pt idx="147">
                  <c:v>2.8379999999999987</c:v>
                </c:pt>
                <c:pt idx="148">
                  <c:v>2.9089999999999998</c:v>
                </c:pt>
                <c:pt idx="149">
                  <c:v>2.9289999999999998</c:v>
                </c:pt>
                <c:pt idx="150">
                  <c:v>2.88</c:v>
                </c:pt>
                <c:pt idx="151">
                  <c:v>2.7930000000000001</c:v>
                </c:pt>
                <c:pt idx="152">
                  <c:v>2.8039999999999998</c:v>
                </c:pt>
                <c:pt idx="153">
                  <c:v>2.7519999999999998</c:v>
                </c:pt>
                <c:pt idx="154">
                  <c:v>2.7250000000000001</c:v>
                </c:pt>
                <c:pt idx="155">
                  <c:v>2.6739999999999999</c:v>
                </c:pt>
                <c:pt idx="156">
                  <c:v>2.6859999999999999</c:v>
                </c:pt>
                <c:pt idx="157">
                  <c:v>2.6909999999999998</c:v>
                </c:pt>
                <c:pt idx="158">
                  <c:v>2.4719999999999978</c:v>
                </c:pt>
                <c:pt idx="159">
                  <c:v>2.4509999999999987</c:v>
                </c:pt>
                <c:pt idx="160">
                  <c:v>2.5299999999999998</c:v>
                </c:pt>
                <c:pt idx="161">
                  <c:v>2.5019999999999998</c:v>
                </c:pt>
                <c:pt idx="162">
                  <c:v>2.3879999999999999</c:v>
                </c:pt>
                <c:pt idx="163">
                  <c:v>2.4430000000000001</c:v>
                </c:pt>
                <c:pt idx="164">
                  <c:v>2.4209999999999998</c:v>
                </c:pt>
                <c:pt idx="165">
                  <c:v>2.4349999999999987</c:v>
                </c:pt>
                <c:pt idx="166">
                  <c:v>2.4139999999999997</c:v>
                </c:pt>
                <c:pt idx="167">
                  <c:v>2.2629999999999999</c:v>
                </c:pt>
                <c:pt idx="168">
                  <c:v>2.1379999999999999</c:v>
                </c:pt>
                <c:pt idx="169">
                  <c:v>2.0179999999999998</c:v>
                </c:pt>
                <c:pt idx="170">
                  <c:v>2.0249999999999999</c:v>
                </c:pt>
                <c:pt idx="171">
                  <c:v>2.0989999999999998</c:v>
                </c:pt>
                <c:pt idx="172">
                  <c:v>2.0379999999999998</c:v>
                </c:pt>
                <c:pt idx="173">
                  <c:v>2.1680000000000001</c:v>
                </c:pt>
                <c:pt idx="174">
                  <c:v>2.242</c:v>
                </c:pt>
                <c:pt idx="175">
                  <c:v>2.2290000000000001</c:v>
                </c:pt>
                <c:pt idx="176">
                  <c:v>2.3109999999999977</c:v>
                </c:pt>
                <c:pt idx="177">
                  <c:v>2.2730000000000001</c:v>
                </c:pt>
                <c:pt idx="178">
                  <c:v>2.2069999999999999</c:v>
                </c:pt>
                <c:pt idx="179">
                  <c:v>2.2040000000000002</c:v>
                </c:pt>
                <c:pt idx="180">
                  <c:v>2.11</c:v>
                </c:pt>
                <c:pt idx="181">
                  <c:v>2.1219999999999999</c:v>
                </c:pt>
                <c:pt idx="182">
                  <c:v>2.08</c:v>
                </c:pt>
                <c:pt idx="183">
                  <c:v>2.0219999999999998</c:v>
                </c:pt>
                <c:pt idx="184">
                  <c:v>1.9650000000000001</c:v>
                </c:pt>
                <c:pt idx="185">
                  <c:v>1.9790000000000001</c:v>
                </c:pt>
                <c:pt idx="186">
                  <c:v>2.0349999999999997</c:v>
                </c:pt>
                <c:pt idx="187">
                  <c:v>2.0139999999999998</c:v>
                </c:pt>
                <c:pt idx="188">
                  <c:v>2.0369999999999977</c:v>
                </c:pt>
                <c:pt idx="189">
                  <c:v>2.0059999999999998</c:v>
                </c:pt>
                <c:pt idx="190">
                  <c:v>2.0230000000000001</c:v>
                </c:pt>
                <c:pt idx="191">
                  <c:v>2.0109999999999997</c:v>
                </c:pt>
                <c:pt idx="192">
                  <c:v>2.0189999999999997</c:v>
                </c:pt>
                <c:pt idx="193">
                  <c:v>2.0189999999999997</c:v>
                </c:pt>
                <c:pt idx="194">
                  <c:v>1.9570000000000001</c:v>
                </c:pt>
                <c:pt idx="195">
                  <c:v>2.0149999999999997</c:v>
                </c:pt>
                <c:pt idx="196">
                  <c:v>2.101</c:v>
                </c:pt>
                <c:pt idx="197">
                  <c:v>2.1319999999999997</c:v>
                </c:pt>
                <c:pt idx="198">
                  <c:v>2.0949999999999998</c:v>
                </c:pt>
                <c:pt idx="199">
                  <c:v>2.0139999999999998</c:v>
                </c:pt>
                <c:pt idx="200">
                  <c:v>1.9800000000000049</c:v>
                </c:pt>
                <c:pt idx="201">
                  <c:v>1.931</c:v>
                </c:pt>
                <c:pt idx="202">
                  <c:v>1.9970000000000001</c:v>
                </c:pt>
                <c:pt idx="203">
                  <c:v>1.9650000000000001</c:v>
                </c:pt>
                <c:pt idx="204">
                  <c:v>1.9640000000000044</c:v>
                </c:pt>
                <c:pt idx="205">
                  <c:v>1.9359999999999955</c:v>
                </c:pt>
                <c:pt idx="206">
                  <c:v>1.927</c:v>
                </c:pt>
                <c:pt idx="207">
                  <c:v>1.9259999999999955</c:v>
                </c:pt>
                <c:pt idx="208">
                  <c:v>1.788</c:v>
                </c:pt>
                <c:pt idx="209">
                  <c:v>1.6950000000000001</c:v>
                </c:pt>
                <c:pt idx="210">
                  <c:v>1.532999999999995</c:v>
                </c:pt>
                <c:pt idx="211">
                  <c:v>1.593</c:v>
                </c:pt>
                <c:pt idx="212">
                  <c:v>1.5820000000000001</c:v>
                </c:pt>
                <c:pt idx="213">
                  <c:v>1.587</c:v>
                </c:pt>
                <c:pt idx="214">
                  <c:v>1.5409999999999953</c:v>
                </c:pt>
                <c:pt idx="215">
                  <c:v>1.5529999999999955</c:v>
                </c:pt>
                <c:pt idx="216">
                  <c:v>1.5620000000000001</c:v>
                </c:pt>
                <c:pt idx="217">
                  <c:v>1.577</c:v>
                </c:pt>
                <c:pt idx="218">
                  <c:v>1.621</c:v>
                </c:pt>
                <c:pt idx="219">
                  <c:v>1.625</c:v>
                </c:pt>
                <c:pt idx="220">
                  <c:v>1.518999999999995</c:v>
                </c:pt>
                <c:pt idx="221">
                  <c:v>1.5409999999999953</c:v>
                </c:pt>
                <c:pt idx="222">
                  <c:v>1.510999999999995</c:v>
                </c:pt>
                <c:pt idx="223">
                  <c:v>1.4729999999999948</c:v>
                </c:pt>
                <c:pt idx="224">
                  <c:v>1.3520000000000001</c:v>
                </c:pt>
                <c:pt idx="225">
                  <c:v>1.341</c:v>
                </c:pt>
                <c:pt idx="226">
                  <c:v>1.3109999999999955</c:v>
                </c:pt>
                <c:pt idx="227">
                  <c:v>1.294</c:v>
                </c:pt>
                <c:pt idx="228">
                  <c:v>1.3029999999999955</c:v>
                </c:pt>
                <c:pt idx="229">
                  <c:v>1.3109999999999955</c:v>
                </c:pt>
                <c:pt idx="230">
                  <c:v>1.3149999999999955</c:v>
                </c:pt>
                <c:pt idx="231">
                  <c:v>1.3069999999999955</c:v>
                </c:pt>
                <c:pt idx="232">
                  <c:v>1.32</c:v>
                </c:pt>
                <c:pt idx="233">
                  <c:v>1.33</c:v>
                </c:pt>
                <c:pt idx="234">
                  <c:v>1.3320000000000001</c:v>
                </c:pt>
                <c:pt idx="235">
                  <c:v>1.319</c:v>
                </c:pt>
                <c:pt idx="236">
                  <c:v>1.319</c:v>
                </c:pt>
                <c:pt idx="237">
                  <c:v>1.387999999999995</c:v>
                </c:pt>
                <c:pt idx="238">
                  <c:v>1.4159999999999908</c:v>
                </c:pt>
                <c:pt idx="239">
                  <c:v>1.395</c:v>
                </c:pt>
                <c:pt idx="240">
                  <c:v>1.4229999999999936</c:v>
                </c:pt>
                <c:pt idx="241">
                  <c:v>1.417999999999991</c:v>
                </c:pt>
                <c:pt idx="242">
                  <c:v>1.41</c:v>
                </c:pt>
                <c:pt idx="243">
                  <c:v>1.381999999999995</c:v>
                </c:pt>
                <c:pt idx="244">
                  <c:v>1.373</c:v>
                </c:pt>
                <c:pt idx="245">
                  <c:v>1.367</c:v>
                </c:pt>
                <c:pt idx="246">
                  <c:v>1.282</c:v>
                </c:pt>
                <c:pt idx="247">
                  <c:v>1.3</c:v>
                </c:pt>
                <c:pt idx="248">
                  <c:v>1.264</c:v>
                </c:pt>
                <c:pt idx="249">
                  <c:v>1.252</c:v>
                </c:pt>
                <c:pt idx="250">
                  <c:v>1.218</c:v>
                </c:pt>
                <c:pt idx="251">
                  <c:v>1.1890000000000001</c:v>
                </c:pt>
                <c:pt idx="252">
                  <c:v>1.1919999999999955</c:v>
                </c:pt>
                <c:pt idx="253">
                  <c:v>1.212</c:v>
                </c:pt>
                <c:pt idx="254">
                  <c:v>1.1700000000000021</c:v>
                </c:pt>
                <c:pt idx="255">
                  <c:v>1.137</c:v>
                </c:pt>
              </c:numCache>
            </c:numRef>
          </c:val>
        </c:ser>
        <c:ser>
          <c:idx val="3"/>
          <c:order val="3"/>
          <c:tx>
            <c:strRef>
              <c:f>'ΣΤΟΙΧΕΙΑ ΓΙΑ ΠΡΟΥΠ 2018'!$E$2</c:f>
              <c:strCache>
                <c:ptCount val="1"/>
                <c:pt idx="0">
                  <c:v>ΙΡΛΑΝΔΙΑ</c:v>
                </c:pt>
              </c:strCache>
            </c:strRef>
          </c:tx>
          <c:marker>
            <c:symbol val="none"/>
          </c:marker>
          <c:cat>
            <c:numRef>
              <c:f>'ΣΤΟΙΧΕΙΑ ΓΙΑ ΠΡΟΥΠ 2018'!$A$3:$A$1535</c:f>
              <c:numCache>
                <c:formatCode>d/m/yyyy</c:formatCode>
                <c:ptCount val="256"/>
                <c:pt idx="0">
                  <c:v>43404</c:v>
                </c:pt>
                <c:pt idx="1">
                  <c:v>43405</c:v>
                </c:pt>
                <c:pt idx="2">
                  <c:v>43406</c:v>
                </c:pt>
                <c:pt idx="3">
                  <c:v>43409</c:v>
                </c:pt>
                <c:pt idx="4">
                  <c:v>43410</c:v>
                </c:pt>
                <c:pt idx="5">
                  <c:v>43411</c:v>
                </c:pt>
                <c:pt idx="6">
                  <c:v>43412</c:v>
                </c:pt>
                <c:pt idx="7">
                  <c:v>43413</c:v>
                </c:pt>
                <c:pt idx="8">
                  <c:v>43416</c:v>
                </c:pt>
                <c:pt idx="9">
                  <c:v>43417</c:v>
                </c:pt>
                <c:pt idx="10">
                  <c:v>43418</c:v>
                </c:pt>
                <c:pt idx="11">
                  <c:v>43419</c:v>
                </c:pt>
                <c:pt idx="12">
                  <c:v>43420</c:v>
                </c:pt>
                <c:pt idx="13">
                  <c:v>43423</c:v>
                </c:pt>
                <c:pt idx="14">
                  <c:v>43424</c:v>
                </c:pt>
                <c:pt idx="15">
                  <c:v>43425</c:v>
                </c:pt>
                <c:pt idx="16">
                  <c:v>43426</c:v>
                </c:pt>
                <c:pt idx="17">
                  <c:v>43427</c:v>
                </c:pt>
                <c:pt idx="18">
                  <c:v>43430</c:v>
                </c:pt>
                <c:pt idx="19">
                  <c:v>43431</c:v>
                </c:pt>
                <c:pt idx="20">
                  <c:v>43432</c:v>
                </c:pt>
                <c:pt idx="21">
                  <c:v>43433</c:v>
                </c:pt>
                <c:pt idx="22">
                  <c:v>43434</c:v>
                </c:pt>
                <c:pt idx="23">
                  <c:v>43437</c:v>
                </c:pt>
                <c:pt idx="24">
                  <c:v>43438</c:v>
                </c:pt>
                <c:pt idx="25">
                  <c:v>43439</c:v>
                </c:pt>
                <c:pt idx="26">
                  <c:v>43440</c:v>
                </c:pt>
                <c:pt idx="27">
                  <c:v>43441</c:v>
                </c:pt>
                <c:pt idx="28">
                  <c:v>43444</c:v>
                </c:pt>
                <c:pt idx="29">
                  <c:v>43445</c:v>
                </c:pt>
                <c:pt idx="30">
                  <c:v>43446</c:v>
                </c:pt>
                <c:pt idx="31">
                  <c:v>43447</c:v>
                </c:pt>
                <c:pt idx="32">
                  <c:v>43448</c:v>
                </c:pt>
                <c:pt idx="33">
                  <c:v>43451</c:v>
                </c:pt>
                <c:pt idx="34">
                  <c:v>43452</c:v>
                </c:pt>
                <c:pt idx="35">
                  <c:v>43453</c:v>
                </c:pt>
                <c:pt idx="36">
                  <c:v>43454</c:v>
                </c:pt>
                <c:pt idx="37">
                  <c:v>43455</c:v>
                </c:pt>
                <c:pt idx="38">
                  <c:v>43458</c:v>
                </c:pt>
                <c:pt idx="39">
                  <c:v>43461</c:v>
                </c:pt>
                <c:pt idx="40">
                  <c:v>43462</c:v>
                </c:pt>
                <c:pt idx="41">
                  <c:v>43465</c:v>
                </c:pt>
                <c:pt idx="42">
                  <c:v>43467</c:v>
                </c:pt>
                <c:pt idx="43">
                  <c:v>43468</c:v>
                </c:pt>
                <c:pt idx="44">
                  <c:v>43469</c:v>
                </c:pt>
                <c:pt idx="45">
                  <c:v>43472</c:v>
                </c:pt>
                <c:pt idx="46">
                  <c:v>43473</c:v>
                </c:pt>
                <c:pt idx="47">
                  <c:v>43474</c:v>
                </c:pt>
                <c:pt idx="48">
                  <c:v>43475</c:v>
                </c:pt>
                <c:pt idx="49">
                  <c:v>43476</c:v>
                </c:pt>
                <c:pt idx="50">
                  <c:v>43479</c:v>
                </c:pt>
                <c:pt idx="51">
                  <c:v>43480</c:v>
                </c:pt>
                <c:pt idx="52">
                  <c:v>43481</c:v>
                </c:pt>
                <c:pt idx="53">
                  <c:v>43482</c:v>
                </c:pt>
                <c:pt idx="54">
                  <c:v>43483</c:v>
                </c:pt>
                <c:pt idx="55">
                  <c:v>43486</c:v>
                </c:pt>
                <c:pt idx="56">
                  <c:v>43487</c:v>
                </c:pt>
                <c:pt idx="57">
                  <c:v>43488</c:v>
                </c:pt>
                <c:pt idx="58">
                  <c:v>43489</c:v>
                </c:pt>
                <c:pt idx="59">
                  <c:v>43490</c:v>
                </c:pt>
                <c:pt idx="60">
                  <c:v>43493</c:v>
                </c:pt>
                <c:pt idx="61">
                  <c:v>43494</c:v>
                </c:pt>
                <c:pt idx="62">
                  <c:v>43495</c:v>
                </c:pt>
                <c:pt idx="63">
                  <c:v>43496</c:v>
                </c:pt>
                <c:pt idx="64">
                  <c:v>43497</c:v>
                </c:pt>
                <c:pt idx="65">
                  <c:v>43500</c:v>
                </c:pt>
                <c:pt idx="66">
                  <c:v>43501</c:v>
                </c:pt>
                <c:pt idx="67">
                  <c:v>43502</c:v>
                </c:pt>
                <c:pt idx="68">
                  <c:v>43503</c:v>
                </c:pt>
                <c:pt idx="69">
                  <c:v>43504</c:v>
                </c:pt>
                <c:pt idx="70">
                  <c:v>43507</c:v>
                </c:pt>
                <c:pt idx="71">
                  <c:v>43508</c:v>
                </c:pt>
                <c:pt idx="72">
                  <c:v>43509</c:v>
                </c:pt>
                <c:pt idx="73">
                  <c:v>43510</c:v>
                </c:pt>
                <c:pt idx="74">
                  <c:v>43511</c:v>
                </c:pt>
                <c:pt idx="75">
                  <c:v>43514</c:v>
                </c:pt>
                <c:pt idx="76">
                  <c:v>43515</c:v>
                </c:pt>
                <c:pt idx="77">
                  <c:v>43516</c:v>
                </c:pt>
                <c:pt idx="78">
                  <c:v>43517</c:v>
                </c:pt>
                <c:pt idx="79">
                  <c:v>43518</c:v>
                </c:pt>
                <c:pt idx="80">
                  <c:v>43521</c:v>
                </c:pt>
                <c:pt idx="81">
                  <c:v>43522</c:v>
                </c:pt>
                <c:pt idx="82">
                  <c:v>43523</c:v>
                </c:pt>
                <c:pt idx="83">
                  <c:v>43524</c:v>
                </c:pt>
                <c:pt idx="84">
                  <c:v>43525</c:v>
                </c:pt>
                <c:pt idx="85">
                  <c:v>43528</c:v>
                </c:pt>
                <c:pt idx="86">
                  <c:v>43529</c:v>
                </c:pt>
                <c:pt idx="87">
                  <c:v>43530</c:v>
                </c:pt>
                <c:pt idx="88">
                  <c:v>43531</c:v>
                </c:pt>
                <c:pt idx="89">
                  <c:v>43532</c:v>
                </c:pt>
                <c:pt idx="90">
                  <c:v>43535</c:v>
                </c:pt>
                <c:pt idx="91">
                  <c:v>43536</c:v>
                </c:pt>
                <c:pt idx="92">
                  <c:v>43537</c:v>
                </c:pt>
                <c:pt idx="93">
                  <c:v>43538</c:v>
                </c:pt>
                <c:pt idx="94">
                  <c:v>43539</c:v>
                </c:pt>
                <c:pt idx="95">
                  <c:v>43542</c:v>
                </c:pt>
                <c:pt idx="96">
                  <c:v>43543</c:v>
                </c:pt>
                <c:pt idx="97">
                  <c:v>43544</c:v>
                </c:pt>
                <c:pt idx="98">
                  <c:v>43545</c:v>
                </c:pt>
                <c:pt idx="99">
                  <c:v>43546</c:v>
                </c:pt>
                <c:pt idx="100">
                  <c:v>43549</c:v>
                </c:pt>
                <c:pt idx="101">
                  <c:v>43550</c:v>
                </c:pt>
                <c:pt idx="102">
                  <c:v>43551</c:v>
                </c:pt>
                <c:pt idx="103">
                  <c:v>43552</c:v>
                </c:pt>
                <c:pt idx="104">
                  <c:v>43553</c:v>
                </c:pt>
                <c:pt idx="105">
                  <c:v>43556</c:v>
                </c:pt>
                <c:pt idx="106">
                  <c:v>43557</c:v>
                </c:pt>
                <c:pt idx="107">
                  <c:v>43558</c:v>
                </c:pt>
                <c:pt idx="108">
                  <c:v>43559</c:v>
                </c:pt>
                <c:pt idx="109">
                  <c:v>43560</c:v>
                </c:pt>
                <c:pt idx="110">
                  <c:v>43563</c:v>
                </c:pt>
                <c:pt idx="111">
                  <c:v>43564</c:v>
                </c:pt>
                <c:pt idx="112">
                  <c:v>43565</c:v>
                </c:pt>
                <c:pt idx="113">
                  <c:v>43566</c:v>
                </c:pt>
                <c:pt idx="114">
                  <c:v>43567</c:v>
                </c:pt>
                <c:pt idx="115">
                  <c:v>43570</c:v>
                </c:pt>
                <c:pt idx="116">
                  <c:v>43571</c:v>
                </c:pt>
                <c:pt idx="117">
                  <c:v>43572</c:v>
                </c:pt>
                <c:pt idx="118">
                  <c:v>43573</c:v>
                </c:pt>
                <c:pt idx="119">
                  <c:v>43578</c:v>
                </c:pt>
                <c:pt idx="120">
                  <c:v>43579</c:v>
                </c:pt>
                <c:pt idx="121">
                  <c:v>43580</c:v>
                </c:pt>
                <c:pt idx="122">
                  <c:v>43581</c:v>
                </c:pt>
                <c:pt idx="123">
                  <c:v>43584</c:v>
                </c:pt>
                <c:pt idx="124">
                  <c:v>43585</c:v>
                </c:pt>
                <c:pt idx="125">
                  <c:v>43587</c:v>
                </c:pt>
                <c:pt idx="126">
                  <c:v>43588</c:v>
                </c:pt>
                <c:pt idx="127">
                  <c:v>43591</c:v>
                </c:pt>
                <c:pt idx="128">
                  <c:v>43592</c:v>
                </c:pt>
                <c:pt idx="129">
                  <c:v>43593</c:v>
                </c:pt>
                <c:pt idx="130">
                  <c:v>43594</c:v>
                </c:pt>
                <c:pt idx="131">
                  <c:v>43595</c:v>
                </c:pt>
                <c:pt idx="132">
                  <c:v>43598</c:v>
                </c:pt>
                <c:pt idx="133">
                  <c:v>43599</c:v>
                </c:pt>
                <c:pt idx="134">
                  <c:v>43600</c:v>
                </c:pt>
                <c:pt idx="135">
                  <c:v>43601</c:v>
                </c:pt>
                <c:pt idx="136">
                  <c:v>43602</c:v>
                </c:pt>
                <c:pt idx="137">
                  <c:v>43605</c:v>
                </c:pt>
                <c:pt idx="138">
                  <c:v>43606</c:v>
                </c:pt>
                <c:pt idx="139">
                  <c:v>43607</c:v>
                </c:pt>
                <c:pt idx="140">
                  <c:v>43608</c:v>
                </c:pt>
                <c:pt idx="141">
                  <c:v>43609</c:v>
                </c:pt>
                <c:pt idx="142">
                  <c:v>43612</c:v>
                </c:pt>
                <c:pt idx="143">
                  <c:v>43613</c:v>
                </c:pt>
                <c:pt idx="144">
                  <c:v>43614</c:v>
                </c:pt>
                <c:pt idx="145">
                  <c:v>43615</c:v>
                </c:pt>
                <c:pt idx="146">
                  <c:v>43616</c:v>
                </c:pt>
                <c:pt idx="147">
                  <c:v>43619</c:v>
                </c:pt>
                <c:pt idx="148">
                  <c:v>43620</c:v>
                </c:pt>
                <c:pt idx="149">
                  <c:v>43621</c:v>
                </c:pt>
                <c:pt idx="150">
                  <c:v>43622</c:v>
                </c:pt>
                <c:pt idx="151">
                  <c:v>43623</c:v>
                </c:pt>
                <c:pt idx="152">
                  <c:v>43626</c:v>
                </c:pt>
                <c:pt idx="153">
                  <c:v>43627</c:v>
                </c:pt>
                <c:pt idx="154">
                  <c:v>43628</c:v>
                </c:pt>
                <c:pt idx="155">
                  <c:v>43629</c:v>
                </c:pt>
                <c:pt idx="156">
                  <c:v>43630</c:v>
                </c:pt>
                <c:pt idx="157">
                  <c:v>43633</c:v>
                </c:pt>
                <c:pt idx="158">
                  <c:v>43634</c:v>
                </c:pt>
                <c:pt idx="159">
                  <c:v>43635</c:v>
                </c:pt>
                <c:pt idx="160">
                  <c:v>43636</c:v>
                </c:pt>
                <c:pt idx="161">
                  <c:v>43637</c:v>
                </c:pt>
                <c:pt idx="162">
                  <c:v>43640</c:v>
                </c:pt>
                <c:pt idx="163">
                  <c:v>43641</c:v>
                </c:pt>
                <c:pt idx="164">
                  <c:v>43642</c:v>
                </c:pt>
                <c:pt idx="165">
                  <c:v>43643</c:v>
                </c:pt>
                <c:pt idx="166">
                  <c:v>43644</c:v>
                </c:pt>
                <c:pt idx="167">
                  <c:v>43647</c:v>
                </c:pt>
                <c:pt idx="168">
                  <c:v>43648</c:v>
                </c:pt>
                <c:pt idx="169">
                  <c:v>43649</c:v>
                </c:pt>
                <c:pt idx="170">
                  <c:v>43650</c:v>
                </c:pt>
                <c:pt idx="171">
                  <c:v>43651</c:v>
                </c:pt>
                <c:pt idx="172">
                  <c:v>43654</c:v>
                </c:pt>
                <c:pt idx="173">
                  <c:v>43655</c:v>
                </c:pt>
                <c:pt idx="174">
                  <c:v>43656</c:v>
                </c:pt>
                <c:pt idx="175">
                  <c:v>43657</c:v>
                </c:pt>
                <c:pt idx="176">
                  <c:v>43658</c:v>
                </c:pt>
                <c:pt idx="177">
                  <c:v>43661</c:v>
                </c:pt>
                <c:pt idx="178">
                  <c:v>43662</c:v>
                </c:pt>
                <c:pt idx="179">
                  <c:v>43663</c:v>
                </c:pt>
                <c:pt idx="180">
                  <c:v>43664</c:v>
                </c:pt>
                <c:pt idx="181">
                  <c:v>43665</c:v>
                </c:pt>
                <c:pt idx="182">
                  <c:v>43668</c:v>
                </c:pt>
                <c:pt idx="183">
                  <c:v>43669</c:v>
                </c:pt>
                <c:pt idx="184">
                  <c:v>43670</c:v>
                </c:pt>
                <c:pt idx="185">
                  <c:v>43671</c:v>
                </c:pt>
                <c:pt idx="186">
                  <c:v>43672</c:v>
                </c:pt>
                <c:pt idx="187">
                  <c:v>43675</c:v>
                </c:pt>
                <c:pt idx="188">
                  <c:v>43676</c:v>
                </c:pt>
                <c:pt idx="189">
                  <c:v>43677</c:v>
                </c:pt>
                <c:pt idx="190">
                  <c:v>43678</c:v>
                </c:pt>
                <c:pt idx="191">
                  <c:v>43679</c:v>
                </c:pt>
                <c:pt idx="192">
                  <c:v>43682</c:v>
                </c:pt>
                <c:pt idx="193">
                  <c:v>43683</c:v>
                </c:pt>
                <c:pt idx="194">
                  <c:v>43684</c:v>
                </c:pt>
                <c:pt idx="195">
                  <c:v>43685</c:v>
                </c:pt>
                <c:pt idx="196">
                  <c:v>43686</c:v>
                </c:pt>
                <c:pt idx="197">
                  <c:v>43689</c:v>
                </c:pt>
                <c:pt idx="198">
                  <c:v>43690</c:v>
                </c:pt>
                <c:pt idx="199">
                  <c:v>43691</c:v>
                </c:pt>
                <c:pt idx="200">
                  <c:v>43692</c:v>
                </c:pt>
                <c:pt idx="201">
                  <c:v>43693</c:v>
                </c:pt>
                <c:pt idx="202">
                  <c:v>43696</c:v>
                </c:pt>
                <c:pt idx="203">
                  <c:v>43697</c:v>
                </c:pt>
                <c:pt idx="204">
                  <c:v>43698</c:v>
                </c:pt>
                <c:pt idx="205">
                  <c:v>43699</c:v>
                </c:pt>
                <c:pt idx="206">
                  <c:v>43700</c:v>
                </c:pt>
                <c:pt idx="207">
                  <c:v>43703</c:v>
                </c:pt>
                <c:pt idx="208">
                  <c:v>43704</c:v>
                </c:pt>
                <c:pt idx="209">
                  <c:v>43705</c:v>
                </c:pt>
                <c:pt idx="210">
                  <c:v>43706</c:v>
                </c:pt>
                <c:pt idx="211">
                  <c:v>43707</c:v>
                </c:pt>
                <c:pt idx="212">
                  <c:v>43710</c:v>
                </c:pt>
                <c:pt idx="213">
                  <c:v>43711</c:v>
                </c:pt>
                <c:pt idx="214">
                  <c:v>43712</c:v>
                </c:pt>
                <c:pt idx="215">
                  <c:v>43713</c:v>
                </c:pt>
                <c:pt idx="216">
                  <c:v>43714</c:v>
                </c:pt>
                <c:pt idx="217">
                  <c:v>43717</c:v>
                </c:pt>
                <c:pt idx="218">
                  <c:v>43718</c:v>
                </c:pt>
                <c:pt idx="219">
                  <c:v>43719</c:v>
                </c:pt>
                <c:pt idx="220">
                  <c:v>43720</c:v>
                </c:pt>
                <c:pt idx="221">
                  <c:v>43721</c:v>
                </c:pt>
                <c:pt idx="222">
                  <c:v>43724</c:v>
                </c:pt>
                <c:pt idx="223">
                  <c:v>43725</c:v>
                </c:pt>
                <c:pt idx="224">
                  <c:v>43726</c:v>
                </c:pt>
                <c:pt idx="225">
                  <c:v>43727</c:v>
                </c:pt>
                <c:pt idx="226">
                  <c:v>43728</c:v>
                </c:pt>
                <c:pt idx="227">
                  <c:v>43731</c:v>
                </c:pt>
                <c:pt idx="228">
                  <c:v>43732</c:v>
                </c:pt>
                <c:pt idx="229">
                  <c:v>43733</c:v>
                </c:pt>
                <c:pt idx="230">
                  <c:v>43734</c:v>
                </c:pt>
                <c:pt idx="231">
                  <c:v>43735</c:v>
                </c:pt>
                <c:pt idx="232">
                  <c:v>43738</c:v>
                </c:pt>
                <c:pt idx="233">
                  <c:v>43739</c:v>
                </c:pt>
                <c:pt idx="234">
                  <c:v>43740</c:v>
                </c:pt>
                <c:pt idx="235">
                  <c:v>43741</c:v>
                </c:pt>
                <c:pt idx="236">
                  <c:v>43742</c:v>
                </c:pt>
                <c:pt idx="237">
                  <c:v>43745</c:v>
                </c:pt>
                <c:pt idx="238">
                  <c:v>43746</c:v>
                </c:pt>
                <c:pt idx="239">
                  <c:v>43747</c:v>
                </c:pt>
                <c:pt idx="240">
                  <c:v>43748</c:v>
                </c:pt>
                <c:pt idx="241">
                  <c:v>43749</c:v>
                </c:pt>
                <c:pt idx="242">
                  <c:v>43752</c:v>
                </c:pt>
                <c:pt idx="243">
                  <c:v>43753</c:v>
                </c:pt>
                <c:pt idx="244">
                  <c:v>43754</c:v>
                </c:pt>
                <c:pt idx="245">
                  <c:v>43755</c:v>
                </c:pt>
                <c:pt idx="246">
                  <c:v>43756</c:v>
                </c:pt>
                <c:pt idx="247">
                  <c:v>43759</c:v>
                </c:pt>
                <c:pt idx="248">
                  <c:v>43760</c:v>
                </c:pt>
                <c:pt idx="249">
                  <c:v>43761</c:v>
                </c:pt>
                <c:pt idx="250">
                  <c:v>43762</c:v>
                </c:pt>
                <c:pt idx="251">
                  <c:v>43763</c:v>
                </c:pt>
                <c:pt idx="252">
                  <c:v>43766</c:v>
                </c:pt>
                <c:pt idx="253">
                  <c:v>43767</c:v>
                </c:pt>
                <c:pt idx="254">
                  <c:v>43768</c:v>
                </c:pt>
                <c:pt idx="255">
                  <c:v>43769</c:v>
                </c:pt>
              </c:numCache>
            </c:numRef>
          </c:cat>
          <c:val>
            <c:numRef>
              <c:f>'ΣΤΟΙΧΕΙΑ ΓΙΑ ΠΡΟΥΠ 2018'!$E$3:$E$1535</c:f>
              <c:numCache>
                <c:formatCode>General</c:formatCode>
                <c:ptCount val="256"/>
                <c:pt idx="0">
                  <c:v>0.94799999999999995</c:v>
                </c:pt>
                <c:pt idx="1">
                  <c:v>0.96400000000000063</c:v>
                </c:pt>
                <c:pt idx="2">
                  <c:v>0.98899999999999999</c:v>
                </c:pt>
                <c:pt idx="3">
                  <c:v>1.002</c:v>
                </c:pt>
                <c:pt idx="4">
                  <c:v>1</c:v>
                </c:pt>
                <c:pt idx="5">
                  <c:v>1.002999999999995</c:v>
                </c:pt>
                <c:pt idx="6">
                  <c:v>0.999</c:v>
                </c:pt>
                <c:pt idx="7">
                  <c:v>0.97000000000000064</c:v>
                </c:pt>
                <c:pt idx="8">
                  <c:v>0.96700000000000064</c:v>
                </c:pt>
                <c:pt idx="9">
                  <c:v>0.97900000000000065</c:v>
                </c:pt>
                <c:pt idx="10">
                  <c:v>0.97100000000000064</c:v>
                </c:pt>
                <c:pt idx="11">
                  <c:v>0.95900000000000063</c:v>
                </c:pt>
                <c:pt idx="12">
                  <c:v>1.002999999999995</c:v>
                </c:pt>
                <c:pt idx="13">
                  <c:v>1.008999999999995</c:v>
                </c:pt>
                <c:pt idx="14">
                  <c:v>1.006999999999995</c:v>
                </c:pt>
                <c:pt idx="15">
                  <c:v>0.998</c:v>
                </c:pt>
                <c:pt idx="16">
                  <c:v>0.998</c:v>
                </c:pt>
                <c:pt idx="17">
                  <c:v>0.96800000000000064</c:v>
                </c:pt>
                <c:pt idx="18">
                  <c:v>0.98299999999999998</c:v>
                </c:pt>
                <c:pt idx="19">
                  <c:v>0.97800000000000065</c:v>
                </c:pt>
                <c:pt idx="20">
                  <c:v>0.94599999999999995</c:v>
                </c:pt>
                <c:pt idx="21">
                  <c:v>0.90700000000000003</c:v>
                </c:pt>
                <c:pt idx="22">
                  <c:v>0.90500000000000003</c:v>
                </c:pt>
                <c:pt idx="23">
                  <c:v>0.90400000000000003</c:v>
                </c:pt>
                <c:pt idx="24">
                  <c:v>0.87300000000000222</c:v>
                </c:pt>
                <c:pt idx="25">
                  <c:v>0.88700000000000001</c:v>
                </c:pt>
                <c:pt idx="26">
                  <c:v>0.86900000000000222</c:v>
                </c:pt>
                <c:pt idx="27">
                  <c:v>0.89400000000000002</c:v>
                </c:pt>
                <c:pt idx="28">
                  <c:v>0.90100000000000002</c:v>
                </c:pt>
                <c:pt idx="29">
                  <c:v>0.91200000000000003</c:v>
                </c:pt>
                <c:pt idx="30">
                  <c:v>0.95800000000000063</c:v>
                </c:pt>
                <c:pt idx="31">
                  <c:v>0.95100000000000062</c:v>
                </c:pt>
                <c:pt idx="32">
                  <c:v>0.93300000000000005</c:v>
                </c:pt>
                <c:pt idx="33">
                  <c:v>0.95400000000000063</c:v>
                </c:pt>
                <c:pt idx="34">
                  <c:v>0.91200000000000003</c:v>
                </c:pt>
                <c:pt idx="35">
                  <c:v>0.89</c:v>
                </c:pt>
                <c:pt idx="36">
                  <c:v>0.86100000000000065</c:v>
                </c:pt>
                <c:pt idx="37">
                  <c:v>0.87700000000000244</c:v>
                </c:pt>
                <c:pt idx="38">
                  <c:v>0.88</c:v>
                </c:pt>
                <c:pt idx="39">
                  <c:v>0.89200000000000002</c:v>
                </c:pt>
                <c:pt idx="40">
                  <c:v>0.85400000000000065</c:v>
                </c:pt>
                <c:pt idx="41">
                  <c:v>0.86400000000000221</c:v>
                </c:pt>
                <c:pt idx="42">
                  <c:v>0.91500000000000004</c:v>
                </c:pt>
                <c:pt idx="43">
                  <c:v>0.94099999999999995</c:v>
                </c:pt>
                <c:pt idx="44">
                  <c:v>0.94499999999999995</c:v>
                </c:pt>
                <c:pt idx="45">
                  <c:v>0.89600000000000002</c:v>
                </c:pt>
                <c:pt idx="46">
                  <c:v>0.86800000000000221</c:v>
                </c:pt>
                <c:pt idx="47">
                  <c:v>1.006</c:v>
                </c:pt>
                <c:pt idx="48">
                  <c:v>0.97000000000000064</c:v>
                </c:pt>
                <c:pt idx="49">
                  <c:v>0.95100000000000062</c:v>
                </c:pt>
                <c:pt idx="50">
                  <c:v>0.96700000000000064</c:v>
                </c:pt>
                <c:pt idx="51">
                  <c:v>0.98399999999999999</c:v>
                </c:pt>
                <c:pt idx="52">
                  <c:v>0.99199999999999999</c:v>
                </c:pt>
                <c:pt idx="53">
                  <c:v>0.97900000000000065</c:v>
                </c:pt>
                <c:pt idx="54">
                  <c:v>0.96200000000000063</c:v>
                </c:pt>
                <c:pt idx="55">
                  <c:v>0.95300000000000062</c:v>
                </c:pt>
                <c:pt idx="56">
                  <c:v>0.90300000000000002</c:v>
                </c:pt>
                <c:pt idx="57">
                  <c:v>0.90600000000000003</c:v>
                </c:pt>
                <c:pt idx="58">
                  <c:v>0.91500000000000004</c:v>
                </c:pt>
                <c:pt idx="59">
                  <c:v>0.92500000000000004</c:v>
                </c:pt>
                <c:pt idx="60">
                  <c:v>0.91400000000000003</c:v>
                </c:pt>
                <c:pt idx="61">
                  <c:v>0.86200000000000065</c:v>
                </c:pt>
                <c:pt idx="62">
                  <c:v>0.88</c:v>
                </c:pt>
                <c:pt idx="63">
                  <c:v>0.89100000000000001</c:v>
                </c:pt>
                <c:pt idx="64">
                  <c:v>0.89100000000000001</c:v>
                </c:pt>
                <c:pt idx="65">
                  <c:v>0.88600000000000001</c:v>
                </c:pt>
                <c:pt idx="66">
                  <c:v>0.86800000000000221</c:v>
                </c:pt>
                <c:pt idx="67">
                  <c:v>0.86200000000000065</c:v>
                </c:pt>
                <c:pt idx="68">
                  <c:v>0.89</c:v>
                </c:pt>
                <c:pt idx="69">
                  <c:v>0.89300000000000002</c:v>
                </c:pt>
                <c:pt idx="70">
                  <c:v>0.88100000000000001</c:v>
                </c:pt>
                <c:pt idx="71">
                  <c:v>0.84700000000000064</c:v>
                </c:pt>
                <c:pt idx="72">
                  <c:v>0.85000000000000064</c:v>
                </c:pt>
                <c:pt idx="73">
                  <c:v>0.85000000000000064</c:v>
                </c:pt>
                <c:pt idx="74">
                  <c:v>0.83900000000000063</c:v>
                </c:pt>
                <c:pt idx="75">
                  <c:v>0.82399999999999995</c:v>
                </c:pt>
                <c:pt idx="76">
                  <c:v>0.84400000000000064</c:v>
                </c:pt>
                <c:pt idx="77">
                  <c:v>0.81799999999999995</c:v>
                </c:pt>
                <c:pt idx="78">
                  <c:v>0.80100000000000005</c:v>
                </c:pt>
                <c:pt idx="79">
                  <c:v>0.78900000000000003</c:v>
                </c:pt>
                <c:pt idx="80">
                  <c:v>0.79900000000000004</c:v>
                </c:pt>
                <c:pt idx="81">
                  <c:v>0.81299999999999994</c:v>
                </c:pt>
                <c:pt idx="82">
                  <c:v>0.82099999999999995</c:v>
                </c:pt>
                <c:pt idx="83">
                  <c:v>0.80200000000000005</c:v>
                </c:pt>
                <c:pt idx="84">
                  <c:v>0.80300000000000005</c:v>
                </c:pt>
                <c:pt idx="85">
                  <c:v>0.75400000000000245</c:v>
                </c:pt>
                <c:pt idx="86">
                  <c:v>0.67300000000000293</c:v>
                </c:pt>
                <c:pt idx="87">
                  <c:v>0.66600000000000292</c:v>
                </c:pt>
                <c:pt idx="88">
                  <c:v>0.68400000000000005</c:v>
                </c:pt>
                <c:pt idx="89">
                  <c:v>0.70200000000000062</c:v>
                </c:pt>
                <c:pt idx="90">
                  <c:v>0.69499999999999995</c:v>
                </c:pt>
                <c:pt idx="91">
                  <c:v>0.66700000000000292</c:v>
                </c:pt>
                <c:pt idx="92">
                  <c:v>0.66600000000000292</c:v>
                </c:pt>
                <c:pt idx="93">
                  <c:v>0.66800000000000292</c:v>
                </c:pt>
                <c:pt idx="94">
                  <c:v>0.68100000000000005</c:v>
                </c:pt>
                <c:pt idx="95">
                  <c:v>0.67300000000000293</c:v>
                </c:pt>
                <c:pt idx="96">
                  <c:v>0.62600000000000244</c:v>
                </c:pt>
                <c:pt idx="97">
                  <c:v>0.57900000000000063</c:v>
                </c:pt>
                <c:pt idx="98">
                  <c:v>0.58000000000000007</c:v>
                </c:pt>
                <c:pt idx="99">
                  <c:v>0.58499999999999996</c:v>
                </c:pt>
                <c:pt idx="100">
                  <c:v>0.52600000000000002</c:v>
                </c:pt>
                <c:pt idx="101">
                  <c:v>0.53500000000000003</c:v>
                </c:pt>
                <c:pt idx="102">
                  <c:v>0.54</c:v>
                </c:pt>
                <c:pt idx="103">
                  <c:v>0.58699999999999997</c:v>
                </c:pt>
                <c:pt idx="104">
                  <c:v>0.57500000000000062</c:v>
                </c:pt>
                <c:pt idx="105">
                  <c:v>0.61800000000000221</c:v>
                </c:pt>
                <c:pt idx="106">
                  <c:v>0.59099999999999997</c:v>
                </c:pt>
                <c:pt idx="107">
                  <c:v>0.58099999999999996</c:v>
                </c:pt>
                <c:pt idx="108">
                  <c:v>0.57299999999999995</c:v>
                </c:pt>
                <c:pt idx="109">
                  <c:v>0.54900000000000004</c:v>
                </c:pt>
                <c:pt idx="110">
                  <c:v>0.53</c:v>
                </c:pt>
                <c:pt idx="111">
                  <c:v>0.53400000000000003</c:v>
                </c:pt>
                <c:pt idx="112">
                  <c:v>0.58699999999999997</c:v>
                </c:pt>
                <c:pt idx="113">
                  <c:v>0.57700000000000062</c:v>
                </c:pt>
                <c:pt idx="114">
                  <c:v>0.56399999999999995</c:v>
                </c:pt>
                <c:pt idx="115">
                  <c:v>0.55900000000000005</c:v>
                </c:pt>
                <c:pt idx="116">
                  <c:v>0.51400000000000001</c:v>
                </c:pt>
                <c:pt idx="117">
                  <c:v>0.55400000000000005</c:v>
                </c:pt>
                <c:pt idx="118">
                  <c:v>0.50900000000000001</c:v>
                </c:pt>
                <c:pt idx="119">
                  <c:v>0.55000000000000004</c:v>
                </c:pt>
                <c:pt idx="120">
                  <c:v>0.53600000000000003</c:v>
                </c:pt>
                <c:pt idx="121">
                  <c:v>0.54500000000000004</c:v>
                </c:pt>
                <c:pt idx="122">
                  <c:v>0.54800000000000004</c:v>
                </c:pt>
                <c:pt idx="123">
                  <c:v>0.55400000000000005</c:v>
                </c:pt>
                <c:pt idx="124">
                  <c:v>0.54500000000000004</c:v>
                </c:pt>
                <c:pt idx="125">
                  <c:v>0.53</c:v>
                </c:pt>
                <c:pt idx="126">
                  <c:v>0.49500000000000038</c:v>
                </c:pt>
                <c:pt idx="127">
                  <c:v>0.49700000000000111</c:v>
                </c:pt>
                <c:pt idx="128">
                  <c:v>0.50600000000000001</c:v>
                </c:pt>
                <c:pt idx="129">
                  <c:v>0.52900000000000003</c:v>
                </c:pt>
                <c:pt idx="130">
                  <c:v>0.51100000000000001</c:v>
                </c:pt>
                <c:pt idx="131">
                  <c:v>0.503</c:v>
                </c:pt>
                <c:pt idx="132">
                  <c:v>0.48100000000000032</c:v>
                </c:pt>
                <c:pt idx="133">
                  <c:v>0.47500000000000031</c:v>
                </c:pt>
                <c:pt idx="134">
                  <c:v>0.48400000000000032</c:v>
                </c:pt>
                <c:pt idx="135">
                  <c:v>0.50700000000000001</c:v>
                </c:pt>
                <c:pt idx="136">
                  <c:v>0.52800000000000002</c:v>
                </c:pt>
                <c:pt idx="137">
                  <c:v>0.51500000000000001</c:v>
                </c:pt>
                <c:pt idx="138">
                  <c:v>0.502</c:v>
                </c:pt>
                <c:pt idx="139">
                  <c:v>0.49300000000000038</c:v>
                </c:pt>
                <c:pt idx="140">
                  <c:v>0.47400000000000031</c:v>
                </c:pt>
                <c:pt idx="141">
                  <c:v>0.46200000000000002</c:v>
                </c:pt>
                <c:pt idx="142">
                  <c:v>0.43700000000000111</c:v>
                </c:pt>
                <c:pt idx="143">
                  <c:v>0.44400000000000001</c:v>
                </c:pt>
                <c:pt idx="144">
                  <c:v>0.41900000000000032</c:v>
                </c:pt>
                <c:pt idx="145">
                  <c:v>0.41600000000000031</c:v>
                </c:pt>
                <c:pt idx="146">
                  <c:v>0.39800000000000146</c:v>
                </c:pt>
                <c:pt idx="147">
                  <c:v>0.34800000000000031</c:v>
                </c:pt>
                <c:pt idx="148">
                  <c:v>0.29300000000000032</c:v>
                </c:pt>
                <c:pt idx="149">
                  <c:v>0.27</c:v>
                </c:pt>
                <c:pt idx="150">
                  <c:v>0.32200000000000123</c:v>
                </c:pt>
                <c:pt idx="151">
                  <c:v>0.30100000000000032</c:v>
                </c:pt>
                <c:pt idx="152">
                  <c:v>0.29900000000000032</c:v>
                </c:pt>
                <c:pt idx="153">
                  <c:v>0.30300000000000032</c:v>
                </c:pt>
                <c:pt idx="154">
                  <c:v>0.28600000000000031</c:v>
                </c:pt>
                <c:pt idx="155">
                  <c:v>0.30400000000000038</c:v>
                </c:pt>
                <c:pt idx="156">
                  <c:v>0.21000000000000021</c:v>
                </c:pt>
                <c:pt idx="157">
                  <c:v>0.26100000000000001</c:v>
                </c:pt>
                <c:pt idx="158">
                  <c:v>0.20800000000000021</c:v>
                </c:pt>
                <c:pt idx="159">
                  <c:v>0.24000000000000021</c:v>
                </c:pt>
                <c:pt idx="160">
                  <c:v>0.18600000000000044</c:v>
                </c:pt>
                <c:pt idx="161">
                  <c:v>0.16500000000000001</c:v>
                </c:pt>
                <c:pt idx="162">
                  <c:v>0.191</c:v>
                </c:pt>
                <c:pt idx="163">
                  <c:v>0.17100000000000001</c:v>
                </c:pt>
                <c:pt idx="164">
                  <c:v>0.16400000000000001</c:v>
                </c:pt>
                <c:pt idx="165">
                  <c:v>0.127</c:v>
                </c:pt>
                <c:pt idx="166">
                  <c:v>0.12000000000000002</c:v>
                </c:pt>
                <c:pt idx="167">
                  <c:v>6.6000000000000003E-2</c:v>
                </c:pt>
                <c:pt idx="168">
                  <c:v>3.4000000000000002E-2</c:v>
                </c:pt>
                <c:pt idx="169">
                  <c:v>7.0000000000000021E-2</c:v>
                </c:pt>
                <c:pt idx="170">
                  <c:v>0.111</c:v>
                </c:pt>
                <c:pt idx="171">
                  <c:v>0.11700000000000002</c:v>
                </c:pt>
                <c:pt idx="172">
                  <c:v>0.16</c:v>
                </c:pt>
                <c:pt idx="173">
                  <c:v>0.19600000000000001</c:v>
                </c:pt>
                <c:pt idx="174">
                  <c:v>0.24300000000000024</c:v>
                </c:pt>
                <c:pt idx="175">
                  <c:v>0.191</c:v>
                </c:pt>
                <c:pt idx="176">
                  <c:v>0.18300000000000041</c:v>
                </c:pt>
                <c:pt idx="177">
                  <c:v>0.14100000000000001</c:v>
                </c:pt>
                <c:pt idx="178">
                  <c:v>0.12000000000000002</c:v>
                </c:pt>
                <c:pt idx="179">
                  <c:v>0.12200000000000009</c:v>
                </c:pt>
                <c:pt idx="180">
                  <c:v>0.112</c:v>
                </c:pt>
                <c:pt idx="181">
                  <c:v>0.115</c:v>
                </c:pt>
                <c:pt idx="182">
                  <c:v>9.8000000000000226E-2</c:v>
                </c:pt>
                <c:pt idx="183">
                  <c:v>0.10800000000000012</c:v>
                </c:pt>
                <c:pt idx="184">
                  <c:v>0.115</c:v>
                </c:pt>
                <c:pt idx="185">
                  <c:v>0.14000000000000001</c:v>
                </c:pt>
                <c:pt idx="186">
                  <c:v>0.15300000000000041</c:v>
                </c:pt>
                <c:pt idx="187">
                  <c:v>7.1999999999999995E-2</c:v>
                </c:pt>
                <c:pt idx="188">
                  <c:v>7.1999999999999995E-2</c:v>
                </c:pt>
                <c:pt idx="189">
                  <c:v>2.0000000000000011E-2</c:v>
                </c:pt>
                <c:pt idx="190">
                  <c:v>2.1000000000000012E-2</c:v>
                </c:pt>
                <c:pt idx="191">
                  <c:v>2.0000000000000052E-3</c:v>
                </c:pt>
                <c:pt idx="192">
                  <c:v>-4.0000000000000022E-2</c:v>
                </c:pt>
                <c:pt idx="193">
                  <c:v>-1.4E-2</c:v>
                </c:pt>
                <c:pt idx="194">
                  <c:v>-1.0000000000000041E-3</c:v>
                </c:pt>
                <c:pt idx="195">
                  <c:v>-1.7000000000000001E-2</c:v>
                </c:pt>
                <c:pt idx="196">
                  <c:v>-4.7000000000000014E-2</c:v>
                </c:pt>
                <c:pt idx="197">
                  <c:v>-0.1</c:v>
                </c:pt>
                <c:pt idx="198">
                  <c:v>-0.16500000000000001</c:v>
                </c:pt>
                <c:pt idx="199">
                  <c:v>-0.13900000000000001</c:v>
                </c:pt>
                <c:pt idx="200">
                  <c:v>-8.8000000000000064E-2</c:v>
                </c:pt>
                <c:pt idx="201">
                  <c:v>-0.129</c:v>
                </c:pt>
                <c:pt idx="202">
                  <c:v>-9.9000000000000046E-2</c:v>
                </c:pt>
                <c:pt idx="203">
                  <c:v>-4.0000000000000022E-2</c:v>
                </c:pt>
                <c:pt idx="204">
                  <c:v>-5.5000000000000014E-2</c:v>
                </c:pt>
                <c:pt idx="205">
                  <c:v>-5.9000000000000191E-2</c:v>
                </c:pt>
                <c:pt idx="206">
                  <c:v>-9.8000000000000226E-2</c:v>
                </c:pt>
                <c:pt idx="207">
                  <c:v>-0.12000000000000002</c:v>
                </c:pt>
                <c:pt idx="208">
                  <c:v>-9.5000000000000043E-2</c:v>
                </c:pt>
                <c:pt idx="209">
                  <c:v>-9.1000000000000025E-2</c:v>
                </c:pt>
                <c:pt idx="210">
                  <c:v>-8.1000000000000003E-2</c:v>
                </c:pt>
                <c:pt idx="211">
                  <c:v>-7.5999999999999998E-2</c:v>
                </c:pt>
                <c:pt idx="212">
                  <c:v>-5.9000000000000191E-2</c:v>
                </c:pt>
                <c:pt idx="213">
                  <c:v>-1.7999999999999999E-2</c:v>
                </c:pt>
                <c:pt idx="214">
                  <c:v>-7.1999999999999995E-2</c:v>
                </c:pt>
                <c:pt idx="215">
                  <c:v>-8.0000000000000227E-3</c:v>
                </c:pt>
                <c:pt idx="216">
                  <c:v>2.8000000000000001E-2</c:v>
                </c:pt>
                <c:pt idx="217">
                  <c:v>-4.0000000000000114E-3</c:v>
                </c:pt>
                <c:pt idx="218">
                  <c:v>1.6000000000000021E-2</c:v>
                </c:pt>
                <c:pt idx="219">
                  <c:v>5.8000000000000003E-2</c:v>
                </c:pt>
                <c:pt idx="220">
                  <c:v>3.2000000000000042E-2</c:v>
                </c:pt>
                <c:pt idx="221">
                  <c:v>5.1000000000000004E-2</c:v>
                </c:pt>
                <c:pt idx="222">
                  <c:v>9.0000000000000028E-3</c:v>
                </c:pt>
                <c:pt idx="223">
                  <c:v>3.3000000000000002E-2</c:v>
                </c:pt>
                <c:pt idx="224">
                  <c:v>1.0000000000000005E-2</c:v>
                </c:pt>
                <c:pt idx="225">
                  <c:v>-4.9000000000000113E-2</c:v>
                </c:pt>
                <c:pt idx="226">
                  <c:v>-5.6000000000000001E-2</c:v>
                </c:pt>
                <c:pt idx="227">
                  <c:v>-3.500000000000001E-2</c:v>
                </c:pt>
                <c:pt idx="228">
                  <c:v>-0.05</c:v>
                </c:pt>
                <c:pt idx="229">
                  <c:v>-4.3999999999999997E-2</c:v>
                </c:pt>
                <c:pt idx="230">
                  <c:v>-4.5000000000000012E-2</c:v>
                </c:pt>
                <c:pt idx="231">
                  <c:v>-4.3000000000000003E-2</c:v>
                </c:pt>
                <c:pt idx="232">
                  <c:v>-1.2999999999999998E-2</c:v>
                </c:pt>
                <c:pt idx="233">
                  <c:v>-5.1999999999999998E-2</c:v>
                </c:pt>
                <c:pt idx="234">
                  <c:v>-4.3999999999999997E-2</c:v>
                </c:pt>
                <c:pt idx="235">
                  <c:v>-2.9000000000000001E-2</c:v>
                </c:pt>
                <c:pt idx="236">
                  <c:v>-5.1999999999999998E-2</c:v>
                </c:pt>
                <c:pt idx="237">
                  <c:v>-4.0000000000000114E-3</c:v>
                </c:pt>
                <c:pt idx="238">
                  <c:v>6.7000000000000004E-2</c:v>
                </c:pt>
                <c:pt idx="239">
                  <c:v>2.9000000000000001E-2</c:v>
                </c:pt>
                <c:pt idx="240">
                  <c:v>1.7000000000000001E-2</c:v>
                </c:pt>
                <c:pt idx="241">
                  <c:v>6.0000000000000114E-3</c:v>
                </c:pt>
                <c:pt idx="242">
                  <c:v>3.4000000000000002E-2</c:v>
                </c:pt>
                <c:pt idx="243">
                  <c:v>1.7000000000000001E-2</c:v>
                </c:pt>
                <c:pt idx="244">
                  <c:v>3.500000000000001E-2</c:v>
                </c:pt>
                <c:pt idx="245">
                  <c:v>3.500000000000001E-2</c:v>
                </c:pt>
                <c:pt idx="246">
                  <c:v>3.500000000000001E-2</c:v>
                </c:pt>
                <c:pt idx="247">
                  <c:v>5.1000000000000004E-2</c:v>
                </c:pt>
                <c:pt idx="248">
                  <c:v>3.1000000000000052E-2</c:v>
                </c:pt>
                <c:pt idx="249">
                  <c:v>1.2E-2</c:v>
                </c:pt>
                <c:pt idx="250">
                  <c:v>3.0000000000000092E-3</c:v>
                </c:pt>
                <c:pt idx="251">
                  <c:v>4.1000000000000002E-2</c:v>
                </c:pt>
                <c:pt idx="252">
                  <c:v>6.8000000000000019E-2</c:v>
                </c:pt>
                <c:pt idx="253">
                  <c:v>4.3999999999999997E-2</c:v>
                </c:pt>
                <c:pt idx="254">
                  <c:v>3.9000000000000014E-2</c:v>
                </c:pt>
                <c:pt idx="255">
                  <c:v>-4.0000000000000114E-3</c:v>
                </c:pt>
              </c:numCache>
            </c:numRef>
          </c:val>
        </c:ser>
        <c:ser>
          <c:idx val="4"/>
          <c:order val="4"/>
          <c:tx>
            <c:strRef>
              <c:f>'ΣΤΟΙΧΕΙΑ ΓΙΑ ΠΡΟΥΠ 2018'!$F$2</c:f>
              <c:strCache>
                <c:ptCount val="1"/>
                <c:pt idx="0">
                  <c:v>ΙΤΑΛΙΑ</c:v>
                </c:pt>
              </c:strCache>
            </c:strRef>
          </c:tx>
          <c:marker>
            <c:symbol val="none"/>
          </c:marker>
          <c:cat>
            <c:numRef>
              <c:f>'ΣΤΟΙΧΕΙΑ ΓΙΑ ΠΡΟΥΠ 2018'!$A$3:$A$1535</c:f>
              <c:numCache>
                <c:formatCode>d/m/yyyy</c:formatCode>
                <c:ptCount val="256"/>
                <c:pt idx="0">
                  <c:v>43404</c:v>
                </c:pt>
                <c:pt idx="1">
                  <c:v>43405</c:v>
                </c:pt>
                <c:pt idx="2">
                  <c:v>43406</c:v>
                </c:pt>
                <c:pt idx="3">
                  <c:v>43409</c:v>
                </c:pt>
                <c:pt idx="4">
                  <c:v>43410</c:v>
                </c:pt>
                <c:pt idx="5">
                  <c:v>43411</c:v>
                </c:pt>
                <c:pt idx="6">
                  <c:v>43412</c:v>
                </c:pt>
                <c:pt idx="7">
                  <c:v>43413</c:v>
                </c:pt>
                <c:pt idx="8">
                  <c:v>43416</c:v>
                </c:pt>
                <c:pt idx="9">
                  <c:v>43417</c:v>
                </c:pt>
                <c:pt idx="10">
                  <c:v>43418</c:v>
                </c:pt>
                <c:pt idx="11">
                  <c:v>43419</c:v>
                </c:pt>
                <c:pt idx="12">
                  <c:v>43420</c:v>
                </c:pt>
                <c:pt idx="13">
                  <c:v>43423</c:v>
                </c:pt>
                <c:pt idx="14">
                  <c:v>43424</c:v>
                </c:pt>
                <c:pt idx="15">
                  <c:v>43425</c:v>
                </c:pt>
                <c:pt idx="16">
                  <c:v>43426</c:v>
                </c:pt>
                <c:pt idx="17">
                  <c:v>43427</c:v>
                </c:pt>
                <c:pt idx="18">
                  <c:v>43430</c:v>
                </c:pt>
                <c:pt idx="19">
                  <c:v>43431</c:v>
                </c:pt>
                <c:pt idx="20">
                  <c:v>43432</c:v>
                </c:pt>
                <c:pt idx="21">
                  <c:v>43433</c:v>
                </c:pt>
                <c:pt idx="22">
                  <c:v>43434</c:v>
                </c:pt>
                <c:pt idx="23">
                  <c:v>43437</c:v>
                </c:pt>
                <c:pt idx="24">
                  <c:v>43438</c:v>
                </c:pt>
                <c:pt idx="25">
                  <c:v>43439</c:v>
                </c:pt>
                <c:pt idx="26">
                  <c:v>43440</c:v>
                </c:pt>
                <c:pt idx="27">
                  <c:v>43441</c:v>
                </c:pt>
                <c:pt idx="28">
                  <c:v>43444</c:v>
                </c:pt>
                <c:pt idx="29">
                  <c:v>43445</c:v>
                </c:pt>
                <c:pt idx="30">
                  <c:v>43446</c:v>
                </c:pt>
                <c:pt idx="31">
                  <c:v>43447</c:v>
                </c:pt>
                <c:pt idx="32">
                  <c:v>43448</c:v>
                </c:pt>
                <c:pt idx="33">
                  <c:v>43451</c:v>
                </c:pt>
                <c:pt idx="34">
                  <c:v>43452</c:v>
                </c:pt>
                <c:pt idx="35">
                  <c:v>43453</c:v>
                </c:pt>
                <c:pt idx="36">
                  <c:v>43454</c:v>
                </c:pt>
                <c:pt idx="37">
                  <c:v>43455</c:v>
                </c:pt>
                <c:pt idx="38">
                  <c:v>43458</c:v>
                </c:pt>
                <c:pt idx="39">
                  <c:v>43461</c:v>
                </c:pt>
                <c:pt idx="40">
                  <c:v>43462</c:v>
                </c:pt>
                <c:pt idx="41">
                  <c:v>43465</c:v>
                </c:pt>
                <c:pt idx="42">
                  <c:v>43467</c:v>
                </c:pt>
                <c:pt idx="43">
                  <c:v>43468</c:v>
                </c:pt>
                <c:pt idx="44">
                  <c:v>43469</c:v>
                </c:pt>
                <c:pt idx="45">
                  <c:v>43472</c:v>
                </c:pt>
                <c:pt idx="46">
                  <c:v>43473</c:v>
                </c:pt>
                <c:pt idx="47">
                  <c:v>43474</c:v>
                </c:pt>
                <c:pt idx="48">
                  <c:v>43475</c:v>
                </c:pt>
                <c:pt idx="49">
                  <c:v>43476</c:v>
                </c:pt>
                <c:pt idx="50">
                  <c:v>43479</c:v>
                </c:pt>
                <c:pt idx="51">
                  <c:v>43480</c:v>
                </c:pt>
                <c:pt idx="52">
                  <c:v>43481</c:v>
                </c:pt>
                <c:pt idx="53">
                  <c:v>43482</c:v>
                </c:pt>
                <c:pt idx="54">
                  <c:v>43483</c:v>
                </c:pt>
                <c:pt idx="55">
                  <c:v>43486</c:v>
                </c:pt>
                <c:pt idx="56">
                  <c:v>43487</c:v>
                </c:pt>
                <c:pt idx="57">
                  <c:v>43488</c:v>
                </c:pt>
                <c:pt idx="58">
                  <c:v>43489</c:v>
                </c:pt>
                <c:pt idx="59">
                  <c:v>43490</c:v>
                </c:pt>
                <c:pt idx="60">
                  <c:v>43493</c:v>
                </c:pt>
                <c:pt idx="61">
                  <c:v>43494</c:v>
                </c:pt>
                <c:pt idx="62">
                  <c:v>43495</c:v>
                </c:pt>
                <c:pt idx="63">
                  <c:v>43496</c:v>
                </c:pt>
                <c:pt idx="64">
                  <c:v>43497</c:v>
                </c:pt>
                <c:pt idx="65">
                  <c:v>43500</c:v>
                </c:pt>
                <c:pt idx="66">
                  <c:v>43501</c:v>
                </c:pt>
                <c:pt idx="67">
                  <c:v>43502</c:v>
                </c:pt>
                <c:pt idx="68">
                  <c:v>43503</c:v>
                </c:pt>
                <c:pt idx="69">
                  <c:v>43504</c:v>
                </c:pt>
                <c:pt idx="70">
                  <c:v>43507</c:v>
                </c:pt>
                <c:pt idx="71">
                  <c:v>43508</c:v>
                </c:pt>
                <c:pt idx="72">
                  <c:v>43509</c:v>
                </c:pt>
                <c:pt idx="73">
                  <c:v>43510</c:v>
                </c:pt>
                <c:pt idx="74">
                  <c:v>43511</c:v>
                </c:pt>
                <c:pt idx="75">
                  <c:v>43514</c:v>
                </c:pt>
                <c:pt idx="76">
                  <c:v>43515</c:v>
                </c:pt>
                <c:pt idx="77">
                  <c:v>43516</c:v>
                </c:pt>
                <c:pt idx="78">
                  <c:v>43517</c:v>
                </c:pt>
                <c:pt idx="79">
                  <c:v>43518</c:v>
                </c:pt>
                <c:pt idx="80">
                  <c:v>43521</c:v>
                </c:pt>
                <c:pt idx="81">
                  <c:v>43522</c:v>
                </c:pt>
                <c:pt idx="82">
                  <c:v>43523</c:v>
                </c:pt>
                <c:pt idx="83">
                  <c:v>43524</c:v>
                </c:pt>
                <c:pt idx="84">
                  <c:v>43525</c:v>
                </c:pt>
                <c:pt idx="85">
                  <c:v>43528</c:v>
                </c:pt>
                <c:pt idx="86">
                  <c:v>43529</c:v>
                </c:pt>
                <c:pt idx="87">
                  <c:v>43530</c:v>
                </c:pt>
                <c:pt idx="88">
                  <c:v>43531</c:v>
                </c:pt>
                <c:pt idx="89">
                  <c:v>43532</c:v>
                </c:pt>
                <c:pt idx="90">
                  <c:v>43535</c:v>
                </c:pt>
                <c:pt idx="91">
                  <c:v>43536</c:v>
                </c:pt>
                <c:pt idx="92">
                  <c:v>43537</c:v>
                </c:pt>
                <c:pt idx="93">
                  <c:v>43538</c:v>
                </c:pt>
                <c:pt idx="94">
                  <c:v>43539</c:v>
                </c:pt>
                <c:pt idx="95">
                  <c:v>43542</c:v>
                </c:pt>
                <c:pt idx="96">
                  <c:v>43543</c:v>
                </c:pt>
                <c:pt idx="97">
                  <c:v>43544</c:v>
                </c:pt>
                <c:pt idx="98">
                  <c:v>43545</c:v>
                </c:pt>
                <c:pt idx="99">
                  <c:v>43546</c:v>
                </c:pt>
                <c:pt idx="100">
                  <c:v>43549</c:v>
                </c:pt>
                <c:pt idx="101">
                  <c:v>43550</c:v>
                </c:pt>
                <c:pt idx="102">
                  <c:v>43551</c:v>
                </c:pt>
                <c:pt idx="103">
                  <c:v>43552</c:v>
                </c:pt>
                <c:pt idx="104">
                  <c:v>43553</c:v>
                </c:pt>
                <c:pt idx="105">
                  <c:v>43556</c:v>
                </c:pt>
                <c:pt idx="106">
                  <c:v>43557</c:v>
                </c:pt>
                <c:pt idx="107">
                  <c:v>43558</c:v>
                </c:pt>
                <c:pt idx="108">
                  <c:v>43559</c:v>
                </c:pt>
                <c:pt idx="109">
                  <c:v>43560</c:v>
                </c:pt>
                <c:pt idx="110">
                  <c:v>43563</c:v>
                </c:pt>
                <c:pt idx="111">
                  <c:v>43564</c:v>
                </c:pt>
                <c:pt idx="112">
                  <c:v>43565</c:v>
                </c:pt>
                <c:pt idx="113">
                  <c:v>43566</c:v>
                </c:pt>
                <c:pt idx="114">
                  <c:v>43567</c:v>
                </c:pt>
                <c:pt idx="115">
                  <c:v>43570</c:v>
                </c:pt>
                <c:pt idx="116">
                  <c:v>43571</c:v>
                </c:pt>
                <c:pt idx="117">
                  <c:v>43572</c:v>
                </c:pt>
                <c:pt idx="118">
                  <c:v>43573</c:v>
                </c:pt>
                <c:pt idx="119">
                  <c:v>43578</c:v>
                </c:pt>
                <c:pt idx="120">
                  <c:v>43579</c:v>
                </c:pt>
                <c:pt idx="121">
                  <c:v>43580</c:v>
                </c:pt>
                <c:pt idx="122">
                  <c:v>43581</c:v>
                </c:pt>
                <c:pt idx="123">
                  <c:v>43584</c:v>
                </c:pt>
                <c:pt idx="124">
                  <c:v>43585</c:v>
                </c:pt>
                <c:pt idx="125">
                  <c:v>43587</c:v>
                </c:pt>
                <c:pt idx="126">
                  <c:v>43588</c:v>
                </c:pt>
                <c:pt idx="127">
                  <c:v>43591</c:v>
                </c:pt>
                <c:pt idx="128">
                  <c:v>43592</c:v>
                </c:pt>
                <c:pt idx="129">
                  <c:v>43593</c:v>
                </c:pt>
                <c:pt idx="130">
                  <c:v>43594</c:v>
                </c:pt>
                <c:pt idx="131">
                  <c:v>43595</c:v>
                </c:pt>
                <c:pt idx="132">
                  <c:v>43598</c:v>
                </c:pt>
                <c:pt idx="133">
                  <c:v>43599</c:v>
                </c:pt>
                <c:pt idx="134">
                  <c:v>43600</c:v>
                </c:pt>
                <c:pt idx="135">
                  <c:v>43601</c:v>
                </c:pt>
                <c:pt idx="136">
                  <c:v>43602</c:v>
                </c:pt>
                <c:pt idx="137">
                  <c:v>43605</c:v>
                </c:pt>
                <c:pt idx="138">
                  <c:v>43606</c:v>
                </c:pt>
                <c:pt idx="139">
                  <c:v>43607</c:v>
                </c:pt>
                <c:pt idx="140">
                  <c:v>43608</c:v>
                </c:pt>
                <c:pt idx="141">
                  <c:v>43609</c:v>
                </c:pt>
                <c:pt idx="142">
                  <c:v>43612</c:v>
                </c:pt>
                <c:pt idx="143">
                  <c:v>43613</c:v>
                </c:pt>
                <c:pt idx="144">
                  <c:v>43614</c:v>
                </c:pt>
                <c:pt idx="145">
                  <c:v>43615</c:v>
                </c:pt>
                <c:pt idx="146">
                  <c:v>43616</c:v>
                </c:pt>
                <c:pt idx="147">
                  <c:v>43619</c:v>
                </c:pt>
                <c:pt idx="148">
                  <c:v>43620</c:v>
                </c:pt>
                <c:pt idx="149">
                  <c:v>43621</c:v>
                </c:pt>
                <c:pt idx="150">
                  <c:v>43622</c:v>
                </c:pt>
                <c:pt idx="151">
                  <c:v>43623</c:v>
                </c:pt>
                <c:pt idx="152">
                  <c:v>43626</c:v>
                </c:pt>
                <c:pt idx="153">
                  <c:v>43627</c:v>
                </c:pt>
                <c:pt idx="154">
                  <c:v>43628</c:v>
                </c:pt>
                <c:pt idx="155">
                  <c:v>43629</c:v>
                </c:pt>
                <c:pt idx="156">
                  <c:v>43630</c:v>
                </c:pt>
                <c:pt idx="157">
                  <c:v>43633</c:v>
                </c:pt>
                <c:pt idx="158">
                  <c:v>43634</c:v>
                </c:pt>
                <c:pt idx="159">
                  <c:v>43635</c:v>
                </c:pt>
                <c:pt idx="160">
                  <c:v>43636</c:v>
                </c:pt>
                <c:pt idx="161">
                  <c:v>43637</c:v>
                </c:pt>
                <c:pt idx="162">
                  <c:v>43640</c:v>
                </c:pt>
                <c:pt idx="163">
                  <c:v>43641</c:v>
                </c:pt>
                <c:pt idx="164">
                  <c:v>43642</c:v>
                </c:pt>
                <c:pt idx="165">
                  <c:v>43643</c:v>
                </c:pt>
                <c:pt idx="166">
                  <c:v>43644</c:v>
                </c:pt>
                <c:pt idx="167">
                  <c:v>43647</c:v>
                </c:pt>
                <c:pt idx="168">
                  <c:v>43648</c:v>
                </c:pt>
                <c:pt idx="169">
                  <c:v>43649</c:v>
                </c:pt>
                <c:pt idx="170">
                  <c:v>43650</c:v>
                </c:pt>
                <c:pt idx="171">
                  <c:v>43651</c:v>
                </c:pt>
                <c:pt idx="172">
                  <c:v>43654</c:v>
                </c:pt>
                <c:pt idx="173">
                  <c:v>43655</c:v>
                </c:pt>
                <c:pt idx="174">
                  <c:v>43656</c:v>
                </c:pt>
                <c:pt idx="175">
                  <c:v>43657</c:v>
                </c:pt>
                <c:pt idx="176">
                  <c:v>43658</c:v>
                </c:pt>
                <c:pt idx="177">
                  <c:v>43661</c:v>
                </c:pt>
                <c:pt idx="178">
                  <c:v>43662</c:v>
                </c:pt>
                <c:pt idx="179">
                  <c:v>43663</c:v>
                </c:pt>
                <c:pt idx="180">
                  <c:v>43664</c:v>
                </c:pt>
                <c:pt idx="181">
                  <c:v>43665</c:v>
                </c:pt>
                <c:pt idx="182">
                  <c:v>43668</c:v>
                </c:pt>
                <c:pt idx="183">
                  <c:v>43669</c:v>
                </c:pt>
                <c:pt idx="184">
                  <c:v>43670</c:v>
                </c:pt>
                <c:pt idx="185">
                  <c:v>43671</c:v>
                </c:pt>
                <c:pt idx="186">
                  <c:v>43672</c:v>
                </c:pt>
                <c:pt idx="187">
                  <c:v>43675</c:v>
                </c:pt>
                <c:pt idx="188">
                  <c:v>43676</c:v>
                </c:pt>
                <c:pt idx="189">
                  <c:v>43677</c:v>
                </c:pt>
                <c:pt idx="190">
                  <c:v>43678</c:v>
                </c:pt>
                <c:pt idx="191">
                  <c:v>43679</c:v>
                </c:pt>
                <c:pt idx="192">
                  <c:v>43682</c:v>
                </c:pt>
                <c:pt idx="193">
                  <c:v>43683</c:v>
                </c:pt>
                <c:pt idx="194">
                  <c:v>43684</c:v>
                </c:pt>
                <c:pt idx="195">
                  <c:v>43685</c:v>
                </c:pt>
                <c:pt idx="196">
                  <c:v>43686</c:v>
                </c:pt>
                <c:pt idx="197">
                  <c:v>43689</c:v>
                </c:pt>
                <c:pt idx="198">
                  <c:v>43690</c:v>
                </c:pt>
                <c:pt idx="199">
                  <c:v>43691</c:v>
                </c:pt>
                <c:pt idx="200">
                  <c:v>43692</c:v>
                </c:pt>
                <c:pt idx="201">
                  <c:v>43693</c:v>
                </c:pt>
                <c:pt idx="202">
                  <c:v>43696</c:v>
                </c:pt>
                <c:pt idx="203">
                  <c:v>43697</c:v>
                </c:pt>
                <c:pt idx="204">
                  <c:v>43698</c:v>
                </c:pt>
                <c:pt idx="205">
                  <c:v>43699</c:v>
                </c:pt>
                <c:pt idx="206">
                  <c:v>43700</c:v>
                </c:pt>
                <c:pt idx="207">
                  <c:v>43703</c:v>
                </c:pt>
                <c:pt idx="208">
                  <c:v>43704</c:v>
                </c:pt>
                <c:pt idx="209">
                  <c:v>43705</c:v>
                </c:pt>
                <c:pt idx="210">
                  <c:v>43706</c:v>
                </c:pt>
                <c:pt idx="211">
                  <c:v>43707</c:v>
                </c:pt>
                <c:pt idx="212">
                  <c:v>43710</c:v>
                </c:pt>
                <c:pt idx="213">
                  <c:v>43711</c:v>
                </c:pt>
                <c:pt idx="214">
                  <c:v>43712</c:v>
                </c:pt>
                <c:pt idx="215">
                  <c:v>43713</c:v>
                </c:pt>
                <c:pt idx="216">
                  <c:v>43714</c:v>
                </c:pt>
                <c:pt idx="217">
                  <c:v>43717</c:v>
                </c:pt>
                <c:pt idx="218">
                  <c:v>43718</c:v>
                </c:pt>
                <c:pt idx="219">
                  <c:v>43719</c:v>
                </c:pt>
                <c:pt idx="220">
                  <c:v>43720</c:v>
                </c:pt>
                <c:pt idx="221">
                  <c:v>43721</c:v>
                </c:pt>
                <c:pt idx="222">
                  <c:v>43724</c:v>
                </c:pt>
                <c:pt idx="223">
                  <c:v>43725</c:v>
                </c:pt>
                <c:pt idx="224">
                  <c:v>43726</c:v>
                </c:pt>
                <c:pt idx="225">
                  <c:v>43727</c:v>
                </c:pt>
                <c:pt idx="226">
                  <c:v>43728</c:v>
                </c:pt>
                <c:pt idx="227">
                  <c:v>43731</c:v>
                </c:pt>
                <c:pt idx="228">
                  <c:v>43732</c:v>
                </c:pt>
                <c:pt idx="229">
                  <c:v>43733</c:v>
                </c:pt>
                <c:pt idx="230">
                  <c:v>43734</c:v>
                </c:pt>
                <c:pt idx="231">
                  <c:v>43735</c:v>
                </c:pt>
                <c:pt idx="232">
                  <c:v>43738</c:v>
                </c:pt>
                <c:pt idx="233">
                  <c:v>43739</c:v>
                </c:pt>
                <c:pt idx="234">
                  <c:v>43740</c:v>
                </c:pt>
                <c:pt idx="235">
                  <c:v>43741</c:v>
                </c:pt>
                <c:pt idx="236">
                  <c:v>43742</c:v>
                </c:pt>
                <c:pt idx="237">
                  <c:v>43745</c:v>
                </c:pt>
                <c:pt idx="238">
                  <c:v>43746</c:v>
                </c:pt>
                <c:pt idx="239">
                  <c:v>43747</c:v>
                </c:pt>
                <c:pt idx="240">
                  <c:v>43748</c:v>
                </c:pt>
                <c:pt idx="241">
                  <c:v>43749</c:v>
                </c:pt>
                <c:pt idx="242">
                  <c:v>43752</c:v>
                </c:pt>
                <c:pt idx="243">
                  <c:v>43753</c:v>
                </c:pt>
                <c:pt idx="244">
                  <c:v>43754</c:v>
                </c:pt>
                <c:pt idx="245">
                  <c:v>43755</c:v>
                </c:pt>
                <c:pt idx="246">
                  <c:v>43756</c:v>
                </c:pt>
                <c:pt idx="247">
                  <c:v>43759</c:v>
                </c:pt>
                <c:pt idx="248">
                  <c:v>43760</c:v>
                </c:pt>
                <c:pt idx="249">
                  <c:v>43761</c:v>
                </c:pt>
                <c:pt idx="250">
                  <c:v>43762</c:v>
                </c:pt>
                <c:pt idx="251">
                  <c:v>43763</c:v>
                </c:pt>
                <c:pt idx="252">
                  <c:v>43766</c:v>
                </c:pt>
                <c:pt idx="253">
                  <c:v>43767</c:v>
                </c:pt>
                <c:pt idx="254">
                  <c:v>43768</c:v>
                </c:pt>
                <c:pt idx="255">
                  <c:v>43769</c:v>
                </c:pt>
              </c:numCache>
            </c:numRef>
          </c:cat>
          <c:val>
            <c:numRef>
              <c:f>'ΣΤΟΙΧΕΙΑ ΓΙΑ ΠΡΟΥΠ 2018'!$F$3:$F$1535</c:f>
              <c:numCache>
                <c:formatCode>General</c:formatCode>
                <c:ptCount val="256"/>
                <c:pt idx="0">
                  <c:v>3.423</c:v>
                </c:pt>
                <c:pt idx="1">
                  <c:v>3.3749999999999987</c:v>
                </c:pt>
                <c:pt idx="2">
                  <c:v>3.3149999999999977</c:v>
                </c:pt>
                <c:pt idx="3">
                  <c:v>3.32</c:v>
                </c:pt>
                <c:pt idx="4">
                  <c:v>3.3919999999999977</c:v>
                </c:pt>
                <c:pt idx="5">
                  <c:v>3.3309999999999977</c:v>
                </c:pt>
                <c:pt idx="6">
                  <c:v>3.3909999999999987</c:v>
                </c:pt>
                <c:pt idx="7">
                  <c:v>3.3979999999999997</c:v>
                </c:pt>
                <c:pt idx="8">
                  <c:v>3.4329999999999967</c:v>
                </c:pt>
                <c:pt idx="9">
                  <c:v>3.4389999999999987</c:v>
                </c:pt>
                <c:pt idx="10">
                  <c:v>3.4849999999999999</c:v>
                </c:pt>
                <c:pt idx="11">
                  <c:v>3.4849999999999999</c:v>
                </c:pt>
                <c:pt idx="12">
                  <c:v>3.4859999999999998</c:v>
                </c:pt>
                <c:pt idx="13">
                  <c:v>3.593</c:v>
                </c:pt>
                <c:pt idx="14">
                  <c:v>3.6119999999999997</c:v>
                </c:pt>
                <c:pt idx="15">
                  <c:v>3.4649999999999999</c:v>
                </c:pt>
                <c:pt idx="16">
                  <c:v>3.4489999999999998</c:v>
                </c:pt>
                <c:pt idx="17">
                  <c:v>3.4019999999999997</c:v>
                </c:pt>
                <c:pt idx="18">
                  <c:v>3.2629999999999999</c:v>
                </c:pt>
                <c:pt idx="19">
                  <c:v>3.2850000000000001</c:v>
                </c:pt>
                <c:pt idx="20">
                  <c:v>3.2519999999999998</c:v>
                </c:pt>
                <c:pt idx="21">
                  <c:v>3.2</c:v>
                </c:pt>
                <c:pt idx="22">
                  <c:v>3.2069999999999999</c:v>
                </c:pt>
                <c:pt idx="23">
                  <c:v>3.14</c:v>
                </c:pt>
                <c:pt idx="24">
                  <c:v>3.15</c:v>
                </c:pt>
                <c:pt idx="25">
                  <c:v>3.0549999999999997</c:v>
                </c:pt>
                <c:pt idx="26">
                  <c:v>3.1959999999999997</c:v>
                </c:pt>
                <c:pt idx="27">
                  <c:v>3.1240000000000001</c:v>
                </c:pt>
                <c:pt idx="28">
                  <c:v>3.101</c:v>
                </c:pt>
                <c:pt idx="29">
                  <c:v>3.1159999999999997</c:v>
                </c:pt>
                <c:pt idx="30">
                  <c:v>2.9959999999999987</c:v>
                </c:pt>
                <c:pt idx="31">
                  <c:v>2.9499999999999997</c:v>
                </c:pt>
                <c:pt idx="32">
                  <c:v>2.9339999999999997</c:v>
                </c:pt>
                <c:pt idx="33">
                  <c:v>2.9539999999999997</c:v>
                </c:pt>
                <c:pt idx="34">
                  <c:v>2.9319999999999977</c:v>
                </c:pt>
                <c:pt idx="35">
                  <c:v>2.7669999999999999</c:v>
                </c:pt>
                <c:pt idx="36">
                  <c:v>2.7309999999999999</c:v>
                </c:pt>
                <c:pt idx="37">
                  <c:v>2.823</c:v>
                </c:pt>
                <c:pt idx="38">
                  <c:v>2.823</c:v>
                </c:pt>
                <c:pt idx="39">
                  <c:v>2.74</c:v>
                </c:pt>
                <c:pt idx="40">
                  <c:v>2.7370000000000001</c:v>
                </c:pt>
                <c:pt idx="41">
                  <c:v>2.7370000000000001</c:v>
                </c:pt>
                <c:pt idx="42">
                  <c:v>2.6880000000000002</c:v>
                </c:pt>
                <c:pt idx="43">
                  <c:v>2.8559999999999977</c:v>
                </c:pt>
                <c:pt idx="44">
                  <c:v>2.8949999999999987</c:v>
                </c:pt>
                <c:pt idx="45">
                  <c:v>2.8949999999999987</c:v>
                </c:pt>
                <c:pt idx="46">
                  <c:v>2.9489999999999998</c:v>
                </c:pt>
                <c:pt idx="47">
                  <c:v>2.8739999999999997</c:v>
                </c:pt>
                <c:pt idx="48">
                  <c:v>2.8849999999999998</c:v>
                </c:pt>
                <c:pt idx="49">
                  <c:v>2.8489999999999998</c:v>
                </c:pt>
                <c:pt idx="50">
                  <c:v>2.8389999999999977</c:v>
                </c:pt>
                <c:pt idx="51">
                  <c:v>2.8709999999999987</c:v>
                </c:pt>
                <c:pt idx="52">
                  <c:v>2.7519999999999998</c:v>
                </c:pt>
                <c:pt idx="53">
                  <c:v>2.7610000000000001</c:v>
                </c:pt>
                <c:pt idx="54">
                  <c:v>2.7269999999999999</c:v>
                </c:pt>
                <c:pt idx="55">
                  <c:v>2.7549999999999999</c:v>
                </c:pt>
                <c:pt idx="56">
                  <c:v>2.738</c:v>
                </c:pt>
                <c:pt idx="57">
                  <c:v>2.7490000000000001</c:v>
                </c:pt>
                <c:pt idx="58">
                  <c:v>2.6559999999999997</c:v>
                </c:pt>
                <c:pt idx="59">
                  <c:v>2.6459999999999999</c:v>
                </c:pt>
                <c:pt idx="60">
                  <c:v>2.6619999999999999</c:v>
                </c:pt>
                <c:pt idx="61">
                  <c:v>2.63</c:v>
                </c:pt>
                <c:pt idx="62">
                  <c:v>2.5959999999999988</c:v>
                </c:pt>
                <c:pt idx="63">
                  <c:v>2.585</c:v>
                </c:pt>
                <c:pt idx="64">
                  <c:v>2.7429999999999999</c:v>
                </c:pt>
                <c:pt idx="65">
                  <c:v>2.73</c:v>
                </c:pt>
                <c:pt idx="66">
                  <c:v>2.79</c:v>
                </c:pt>
                <c:pt idx="67">
                  <c:v>2.8539999999999988</c:v>
                </c:pt>
                <c:pt idx="68">
                  <c:v>2.9449999999999998</c:v>
                </c:pt>
                <c:pt idx="69">
                  <c:v>2.9519999999999977</c:v>
                </c:pt>
                <c:pt idx="70">
                  <c:v>2.8939999999999997</c:v>
                </c:pt>
                <c:pt idx="71">
                  <c:v>2.84</c:v>
                </c:pt>
                <c:pt idx="72">
                  <c:v>2.7800000000000002</c:v>
                </c:pt>
                <c:pt idx="73">
                  <c:v>2.798</c:v>
                </c:pt>
                <c:pt idx="74">
                  <c:v>2.7930000000000001</c:v>
                </c:pt>
                <c:pt idx="75">
                  <c:v>2.7610000000000001</c:v>
                </c:pt>
                <c:pt idx="76">
                  <c:v>2.7840000000000011</c:v>
                </c:pt>
                <c:pt idx="77">
                  <c:v>2.8549999999999978</c:v>
                </c:pt>
                <c:pt idx="78">
                  <c:v>2.8279999999999998</c:v>
                </c:pt>
                <c:pt idx="79">
                  <c:v>2.8419999999999987</c:v>
                </c:pt>
                <c:pt idx="80">
                  <c:v>2.7690000000000001</c:v>
                </c:pt>
                <c:pt idx="81">
                  <c:v>2.6989999999999998</c:v>
                </c:pt>
                <c:pt idx="82">
                  <c:v>2.7800000000000002</c:v>
                </c:pt>
                <c:pt idx="83">
                  <c:v>2.7469999999999999</c:v>
                </c:pt>
                <c:pt idx="84">
                  <c:v>2.7290000000000001</c:v>
                </c:pt>
                <c:pt idx="85">
                  <c:v>2.7330000000000001</c:v>
                </c:pt>
                <c:pt idx="86">
                  <c:v>2.7029999999999998</c:v>
                </c:pt>
                <c:pt idx="87">
                  <c:v>2.5859999999999999</c:v>
                </c:pt>
                <c:pt idx="88">
                  <c:v>2.4649999999999999</c:v>
                </c:pt>
                <c:pt idx="89">
                  <c:v>2.5009999999999999</c:v>
                </c:pt>
                <c:pt idx="90">
                  <c:v>2.5539999999999998</c:v>
                </c:pt>
                <c:pt idx="91">
                  <c:v>2.5359999999999987</c:v>
                </c:pt>
                <c:pt idx="92">
                  <c:v>2.5459999999999998</c:v>
                </c:pt>
                <c:pt idx="93">
                  <c:v>2.4949999999999997</c:v>
                </c:pt>
                <c:pt idx="94">
                  <c:v>2.4909999999999997</c:v>
                </c:pt>
                <c:pt idx="95">
                  <c:v>2.4509999999999987</c:v>
                </c:pt>
                <c:pt idx="96">
                  <c:v>2.4889999999999999</c:v>
                </c:pt>
                <c:pt idx="97">
                  <c:v>2.5209999999999999</c:v>
                </c:pt>
                <c:pt idx="98">
                  <c:v>2.4509999999999987</c:v>
                </c:pt>
                <c:pt idx="99">
                  <c:v>2.4430000000000001</c:v>
                </c:pt>
                <c:pt idx="100">
                  <c:v>2.4969999999999977</c:v>
                </c:pt>
                <c:pt idx="101">
                  <c:v>2.4630000000000001</c:v>
                </c:pt>
                <c:pt idx="102">
                  <c:v>2.448</c:v>
                </c:pt>
                <c:pt idx="103">
                  <c:v>2.4809999999999999</c:v>
                </c:pt>
                <c:pt idx="104">
                  <c:v>2.4849999999999999</c:v>
                </c:pt>
                <c:pt idx="105">
                  <c:v>2.5030000000000001</c:v>
                </c:pt>
                <c:pt idx="106">
                  <c:v>2.5189999999999997</c:v>
                </c:pt>
                <c:pt idx="107">
                  <c:v>2.5369999999999977</c:v>
                </c:pt>
                <c:pt idx="108">
                  <c:v>2.5139999999999998</c:v>
                </c:pt>
                <c:pt idx="109">
                  <c:v>2.4729999999999968</c:v>
                </c:pt>
                <c:pt idx="110">
                  <c:v>2.4819999999999998</c:v>
                </c:pt>
                <c:pt idx="111">
                  <c:v>2.4189999999999987</c:v>
                </c:pt>
                <c:pt idx="112">
                  <c:v>2.4079999999999999</c:v>
                </c:pt>
                <c:pt idx="113">
                  <c:v>2.3659999999999997</c:v>
                </c:pt>
                <c:pt idx="114">
                  <c:v>2.5379999999999998</c:v>
                </c:pt>
                <c:pt idx="115">
                  <c:v>2.5749999999999997</c:v>
                </c:pt>
                <c:pt idx="116">
                  <c:v>2.5909999999999997</c:v>
                </c:pt>
                <c:pt idx="117">
                  <c:v>2.61</c:v>
                </c:pt>
                <c:pt idx="118">
                  <c:v>2.5989999999999998</c:v>
                </c:pt>
                <c:pt idx="119">
                  <c:v>2.6719999999999997</c:v>
                </c:pt>
                <c:pt idx="120">
                  <c:v>2.6309999999999998</c:v>
                </c:pt>
                <c:pt idx="121">
                  <c:v>2.6859999999999999</c:v>
                </c:pt>
                <c:pt idx="122">
                  <c:v>2.581</c:v>
                </c:pt>
                <c:pt idx="123">
                  <c:v>2.5830000000000002</c:v>
                </c:pt>
                <c:pt idx="124">
                  <c:v>2.5529999999999977</c:v>
                </c:pt>
                <c:pt idx="125">
                  <c:v>2.5489999999999999</c:v>
                </c:pt>
                <c:pt idx="126">
                  <c:v>2.5569999999999977</c:v>
                </c:pt>
                <c:pt idx="127">
                  <c:v>2.5749999999999997</c:v>
                </c:pt>
                <c:pt idx="128">
                  <c:v>2.617</c:v>
                </c:pt>
                <c:pt idx="129">
                  <c:v>2.6109999999999998</c:v>
                </c:pt>
                <c:pt idx="130">
                  <c:v>2.68</c:v>
                </c:pt>
                <c:pt idx="131">
                  <c:v>2.68</c:v>
                </c:pt>
                <c:pt idx="132">
                  <c:v>2.6970000000000001</c:v>
                </c:pt>
                <c:pt idx="133">
                  <c:v>2.7269999999999999</c:v>
                </c:pt>
                <c:pt idx="134">
                  <c:v>2.7440000000000002</c:v>
                </c:pt>
                <c:pt idx="135">
                  <c:v>2.6819999999999999</c:v>
                </c:pt>
                <c:pt idx="136">
                  <c:v>2.657</c:v>
                </c:pt>
                <c:pt idx="137">
                  <c:v>2.6970000000000001</c:v>
                </c:pt>
                <c:pt idx="138">
                  <c:v>2.641</c:v>
                </c:pt>
                <c:pt idx="139">
                  <c:v>2.63</c:v>
                </c:pt>
                <c:pt idx="140">
                  <c:v>2.6339999999999999</c:v>
                </c:pt>
                <c:pt idx="141">
                  <c:v>2.5489999999999999</c:v>
                </c:pt>
                <c:pt idx="142">
                  <c:v>2.67</c:v>
                </c:pt>
                <c:pt idx="143">
                  <c:v>2.6789999999999998</c:v>
                </c:pt>
                <c:pt idx="144">
                  <c:v>2.637</c:v>
                </c:pt>
                <c:pt idx="145">
                  <c:v>2.653</c:v>
                </c:pt>
                <c:pt idx="146">
                  <c:v>2.665</c:v>
                </c:pt>
                <c:pt idx="147">
                  <c:v>2.5559999999999987</c:v>
                </c:pt>
                <c:pt idx="148">
                  <c:v>2.5119999999999987</c:v>
                </c:pt>
                <c:pt idx="149">
                  <c:v>2.4659999999999997</c:v>
                </c:pt>
                <c:pt idx="150">
                  <c:v>2.484</c:v>
                </c:pt>
                <c:pt idx="151">
                  <c:v>2.3539999999999988</c:v>
                </c:pt>
                <c:pt idx="152">
                  <c:v>2.3549999999999978</c:v>
                </c:pt>
                <c:pt idx="153">
                  <c:v>2.3889999999999998</c:v>
                </c:pt>
                <c:pt idx="154">
                  <c:v>2.4299999999999997</c:v>
                </c:pt>
                <c:pt idx="155">
                  <c:v>2.3529999999999927</c:v>
                </c:pt>
                <c:pt idx="156">
                  <c:v>2.3419999999999987</c:v>
                </c:pt>
                <c:pt idx="157">
                  <c:v>2.294</c:v>
                </c:pt>
                <c:pt idx="158">
                  <c:v>2.11</c:v>
                </c:pt>
                <c:pt idx="159">
                  <c:v>2.1040000000000001</c:v>
                </c:pt>
                <c:pt idx="160">
                  <c:v>2.14</c:v>
                </c:pt>
                <c:pt idx="161">
                  <c:v>2.1440000000000001</c:v>
                </c:pt>
                <c:pt idx="162">
                  <c:v>2.149</c:v>
                </c:pt>
                <c:pt idx="163">
                  <c:v>2.157</c:v>
                </c:pt>
                <c:pt idx="164">
                  <c:v>2.1379999999999999</c:v>
                </c:pt>
                <c:pt idx="165">
                  <c:v>2.1309999999999998</c:v>
                </c:pt>
                <c:pt idx="166">
                  <c:v>2.0959999999999988</c:v>
                </c:pt>
                <c:pt idx="167">
                  <c:v>1.9630000000000001</c:v>
                </c:pt>
                <c:pt idx="168">
                  <c:v>1.835</c:v>
                </c:pt>
                <c:pt idx="169">
                  <c:v>1.58</c:v>
                </c:pt>
                <c:pt idx="170">
                  <c:v>1.671</c:v>
                </c:pt>
                <c:pt idx="171">
                  <c:v>1.740999999999995</c:v>
                </c:pt>
                <c:pt idx="172">
                  <c:v>1.780999999999995</c:v>
                </c:pt>
                <c:pt idx="173">
                  <c:v>1.73</c:v>
                </c:pt>
                <c:pt idx="174">
                  <c:v>1.7309999999999948</c:v>
                </c:pt>
                <c:pt idx="175">
                  <c:v>1.6970000000000001</c:v>
                </c:pt>
                <c:pt idx="176">
                  <c:v>1.7309999999999948</c:v>
                </c:pt>
                <c:pt idx="177">
                  <c:v>1.643999999999995</c:v>
                </c:pt>
                <c:pt idx="178">
                  <c:v>1.6080000000000001</c:v>
                </c:pt>
                <c:pt idx="179">
                  <c:v>1.59</c:v>
                </c:pt>
                <c:pt idx="180">
                  <c:v>1.55</c:v>
                </c:pt>
                <c:pt idx="181">
                  <c:v>1.6</c:v>
                </c:pt>
                <c:pt idx="182">
                  <c:v>1.6500000000000001</c:v>
                </c:pt>
                <c:pt idx="183">
                  <c:v>1.599</c:v>
                </c:pt>
                <c:pt idx="184">
                  <c:v>1.4889999999999948</c:v>
                </c:pt>
                <c:pt idx="185">
                  <c:v>1.512999999999995</c:v>
                </c:pt>
                <c:pt idx="186">
                  <c:v>1.5609999999999955</c:v>
                </c:pt>
                <c:pt idx="187">
                  <c:v>1.5680000000000001</c:v>
                </c:pt>
                <c:pt idx="188">
                  <c:v>1.5820000000000001</c:v>
                </c:pt>
                <c:pt idx="189">
                  <c:v>1.536999999999995</c:v>
                </c:pt>
                <c:pt idx="190">
                  <c:v>1.5780000000000001</c:v>
                </c:pt>
                <c:pt idx="191">
                  <c:v>1.538</c:v>
                </c:pt>
                <c:pt idx="192">
                  <c:v>1.5609999999999955</c:v>
                </c:pt>
                <c:pt idx="193">
                  <c:v>1.51</c:v>
                </c:pt>
                <c:pt idx="194">
                  <c:v>1.4149999999999936</c:v>
                </c:pt>
                <c:pt idx="195">
                  <c:v>1.53</c:v>
                </c:pt>
                <c:pt idx="196">
                  <c:v>1.8029999999999955</c:v>
                </c:pt>
                <c:pt idx="197">
                  <c:v>1.6960000000000044</c:v>
                </c:pt>
                <c:pt idx="198">
                  <c:v>1.613</c:v>
                </c:pt>
                <c:pt idx="199">
                  <c:v>1.502999999999995</c:v>
                </c:pt>
                <c:pt idx="200">
                  <c:v>1.327</c:v>
                </c:pt>
                <c:pt idx="201">
                  <c:v>1.385999999999995</c:v>
                </c:pt>
                <c:pt idx="202">
                  <c:v>1.4309999999999936</c:v>
                </c:pt>
                <c:pt idx="203">
                  <c:v>1.367</c:v>
                </c:pt>
                <c:pt idx="204">
                  <c:v>1.327</c:v>
                </c:pt>
                <c:pt idx="205">
                  <c:v>1.3009999999999955</c:v>
                </c:pt>
                <c:pt idx="206">
                  <c:v>1.3120000000000001</c:v>
                </c:pt>
                <c:pt idx="207">
                  <c:v>1.3169999999999955</c:v>
                </c:pt>
                <c:pt idx="208">
                  <c:v>1.133</c:v>
                </c:pt>
                <c:pt idx="209">
                  <c:v>1.038999999999995</c:v>
                </c:pt>
                <c:pt idx="210">
                  <c:v>0.97700000000000065</c:v>
                </c:pt>
                <c:pt idx="211">
                  <c:v>0.99199999999999999</c:v>
                </c:pt>
                <c:pt idx="212">
                  <c:v>0.96100000000000063</c:v>
                </c:pt>
                <c:pt idx="213">
                  <c:v>0.87000000000000222</c:v>
                </c:pt>
                <c:pt idx="214">
                  <c:v>0.80500000000000005</c:v>
                </c:pt>
                <c:pt idx="215">
                  <c:v>0.94000000000000061</c:v>
                </c:pt>
                <c:pt idx="216">
                  <c:v>0.87100000000000222</c:v>
                </c:pt>
                <c:pt idx="217">
                  <c:v>0.93899999999999995</c:v>
                </c:pt>
                <c:pt idx="218">
                  <c:v>1.016999999999995</c:v>
                </c:pt>
                <c:pt idx="219">
                  <c:v>0.96600000000000064</c:v>
                </c:pt>
                <c:pt idx="220">
                  <c:v>0.86200000000000065</c:v>
                </c:pt>
                <c:pt idx="221">
                  <c:v>0.87600000000000244</c:v>
                </c:pt>
                <c:pt idx="222">
                  <c:v>0.83800000000000063</c:v>
                </c:pt>
                <c:pt idx="223">
                  <c:v>0.91700000000000004</c:v>
                </c:pt>
                <c:pt idx="224">
                  <c:v>0.87200000000000222</c:v>
                </c:pt>
                <c:pt idx="225">
                  <c:v>0.88100000000000001</c:v>
                </c:pt>
                <c:pt idx="226">
                  <c:v>0.91900000000000004</c:v>
                </c:pt>
                <c:pt idx="227">
                  <c:v>0.82700000000000062</c:v>
                </c:pt>
                <c:pt idx="228">
                  <c:v>0.82800000000000062</c:v>
                </c:pt>
                <c:pt idx="229">
                  <c:v>0.83900000000000063</c:v>
                </c:pt>
                <c:pt idx="230">
                  <c:v>0.82000000000000062</c:v>
                </c:pt>
                <c:pt idx="231">
                  <c:v>0.82099999999999995</c:v>
                </c:pt>
                <c:pt idx="232">
                  <c:v>0.81799999999999995</c:v>
                </c:pt>
                <c:pt idx="233">
                  <c:v>0.85300000000000065</c:v>
                </c:pt>
                <c:pt idx="234">
                  <c:v>0.89700000000000002</c:v>
                </c:pt>
                <c:pt idx="235">
                  <c:v>0.82299999999999995</c:v>
                </c:pt>
                <c:pt idx="236">
                  <c:v>0.82900000000000063</c:v>
                </c:pt>
                <c:pt idx="237">
                  <c:v>0.84800000000000064</c:v>
                </c:pt>
                <c:pt idx="238">
                  <c:v>0.84000000000000064</c:v>
                </c:pt>
                <c:pt idx="239">
                  <c:v>0.86600000000000221</c:v>
                </c:pt>
                <c:pt idx="240">
                  <c:v>0.95400000000000063</c:v>
                </c:pt>
                <c:pt idx="241">
                  <c:v>0.93700000000000061</c:v>
                </c:pt>
                <c:pt idx="242">
                  <c:v>0.90900000000000003</c:v>
                </c:pt>
                <c:pt idx="243">
                  <c:v>0.93300000000000005</c:v>
                </c:pt>
                <c:pt idx="244">
                  <c:v>0.92300000000000004</c:v>
                </c:pt>
                <c:pt idx="245">
                  <c:v>0.88600000000000001</c:v>
                </c:pt>
                <c:pt idx="246">
                  <c:v>0.88600000000000001</c:v>
                </c:pt>
                <c:pt idx="247">
                  <c:v>0.98</c:v>
                </c:pt>
                <c:pt idx="248">
                  <c:v>0.92</c:v>
                </c:pt>
                <c:pt idx="249">
                  <c:v>0.93300000000000005</c:v>
                </c:pt>
                <c:pt idx="250">
                  <c:v>0.90300000000000002</c:v>
                </c:pt>
                <c:pt idx="251">
                  <c:v>0.94799999999999995</c:v>
                </c:pt>
                <c:pt idx="252">
                  <c:v>1.000999999999995</c:v>
                </c:pt>
                <c:pt idx="253">
                  <c:v>0.98399999999999999</c:v>
                </c:pt>
                <c:pt idx="254">
                  <c:v>0.98699999999999999</c:v>
                </c:pt>
                <c:pt idx="255">
                  <c:v>0.91900000000000004</c:v>
                </c:pt>
              </c:numCache>
            </c:numRef>
          </c:val>
        </c:ser>
        <c:ser>
          <c:idx val="5"/>
          <c:order val="5"/>
          <c:tx>
            <c:strRef>
              <c:f>'ΣΤΟΙΧΕΙΑ ΓΙΑ ΠΡΟΥΠ 2018'!$G$2</c:f>
              <c:strCache>
                <c:ptCount val="1"/>
                <c:pt idx="0">
                  <c:v>ΠΟΡΤΟΓΑΛΙΑ</c:v>
                </c:pt>
              </c:strCache>
            </c:strRef>
          </c:tx>
          <c:spPr>
            <a:ln>
              <a:solidFill>
                <a:srgbClr val="00B050"/>
              </a:solidFill>
            </a:ln>
          </c:spPr>
          <c:marker>
            <c:symbol val="none"/>
          </c:marker>
          <c:cat>
            <c:numRef>
              <c:f>'ΣΤΟΙΧΕΙΑ ΓΙΑ ΠΡΟΥΠ 2018'!$A$3:$A$1535</c:f>
              <c:numCache>
                <c:formatCode>d/m/yyyy</c:formatCode>
                <c:ptCount val="256"/>
                <c:pt idx="0">
                  <c:v>43404</c:v>
                </c:pt>
                <c:pt idx="1">
                  <c:v>43405</c:v>
                </c:pt>
                <c:pt idx="2">
                  <c:v>43406</c:v>
                </c:pt>
                <c:pt idx="3">
                  <c:v>43409</c:v>
                </c:pt>
                <c:pt idx="4">
                  <c:v>43410</c:v>
                </c:pt>
                <c:pt idx="5">
                  <c:v>43411</c:v>
                </c:pt>
                <c:pt idx="6">
                  <c:v>43412</c:v>
                </c:pt>
                <c:pt idx="7">
                  <c:v>43413</c:v>
                </c:pt>
                <c:pt idx="8">
                  <c:v>43416</c:v>
                </c:pt>
                <c:pt idx="9">
                  <c:v>43417</c:v>
                </c:pt>
                <c:pt idx="10">
                  <c:v>43418</c:v>
                </c:pt>
                <c:pt idx="11">
                  <c:v>43419</c:v>
                </c:pt>
                <c:pt idx="12">
                  <c:v>43420</c:v>
                </c:pt>
                <c:pt idx="13">
                  <c:v>43423</c:v>
                </c:pt>
                <c:pt idx="14">
                  <c:v>43424</c:v>
                </c:pt>
                <c:pt idx="15">
                  <c:v>43425</c:v>
                </c:pt>
                <c:pt idx="16">
                  <c:v>43426</c:v>
                </c:pt>
                <c:pt idx="17">
                  <c:v>43427</c:v>
                </c:pt>
                <c:pt idx="18">
                  <c:v>43430</c:v>
                </c:pt>
                <c:pt idx="19">
                  <c:v>43431</c:v>
                </c:pt>
                <c:pt idx="20">
                  <c:v>43432</c:v>
                </c:pt>
                <c:pt idx="21">
                  <c:v>43433</c:v>
                </c:pt>
                <c:pt idx="22">
                  <c:v>43434</c:v>
                </c:pt>
                <c:pt idx="23">
                  <c:v>43437</c:v>
                </c:pt>
                <c:pt idx="24">
                  <c:v>43438</c:v>
                </c:pt>
                <c:pt idx="25">
                  <c:v>43439</c:v>
                </c:pt>
                <c:pt idx="26">
                  <c:v>43440</c:v>
                </c:pt>
                <c:pt idx="27">
                  <c:v>43441</c:v>
                </c:pt>
                <c:pt idx="28">
                  <c:v>43444</c:v>
                </c:pt>
                <c:pt idx="29">
                  <c:v>43445</c:v>
                </c:pt>
                <c:pt idx="30">
                  <c:v>43446</c:v>
                </c:pt>
                <c:pt idx="31">
                  <c:v>43447</c:v>
                </c:pt>
                <c:pt idx="32">
                  <c:v>43448</c:v>
                </c:pt>
                <c:pt idx="33">
                  <c:v>43451</c:v>
                </c:pt>
                <c:pt idx="34">
                  <c:v>43452</c:v>
                </c:pt>
                <c:pt idx="35">
                  <c:v>43453</c:v>
                </c:pt>
                <c:pt idx="36">
                  <c:v>43454</c:v>
                </c:pt>
                <c:pt idx="37">
                  <c:v>43455</c:v>
                </c:pt>
                <c:pt idx="38">
                  <c:v>43458</c:v>
                </c:pt>
                <c:pt idx="39">
                  <c:v>43461</c:v>
                </c:pt>
                <c:pt idx="40">
                  <c:v>43462</c:v>
                </c:pt>
                <c:pt idx="41">
                  <c:v>43465</c:v>
                </c:pt>
                <c:pt idx="42">
                  <c:v>43467</c:v>
                </c:pt>
                <c:pt idx="43">
                  <c:v>43468</c:v>
                </c:pt>
                <c:pt idx="44">
                  <c:v>43469</c:v>
                </c:pt>
                <c:pt idx="45">
                  <c:v>43472</c:v>
                </c:pt>
                <c:pt idx="46">
                  <c:v>43473</c:v>
                </c:pt>
                <c:pt idx="47">
                  <c:v>43474</c:v>
                </c:pt>
                <c:pt idx="48">
                  <c:v>43475</c:v>
                </c:pt>
                <c:pt idx="49">
                  <c:v>43476</c:v>
                </c:pt>
                <c:pt idx="50">
                  <c:v>43479</c:v>
                </c:pt>
                <c:pt idx="51">
                  <c:v>43480</c:v>
                </c:pt>
                <c:pt idx="52">
                  <c:v>43481</c:v>
                </c:pt>
                <c:pt idx="53">
                  <c:v>43482</c:v>
                </c:pt>
                <c:pt idx="54">
                  <c:v>43483</c:v>
                </c:pt>
                <c:pt idx="55">
                  <c:v>43486</c:v>
                </c:pt>
                <c:pt idx="56">
                  <c:v>43487</c:v>
                </c:pt>
                <c:pt idx="57">
                  <c:v>43488</c:v>
                </c:pt>
                <c:pt idx="58">
                  <c:v>43489</c:v>
                </c:pt>
                <c:pt idx="59">
                  <c:v>43490</c:v>
                </c:pt>
                <c:pt idx="60">
                  <c:v>43493</c:v>
                </c:pt>
                <c:pt idx="61">
                  <c:v>43494</c:v>
                </c:pt>
                <c:pt idx="62">
                  <c:v>43495</c:v>
                </c:pt>
                <c:pt idx="63">
                  <c:v>43496</c:v>
                </c:pt>
                <c:pt idx="64">
                  <c:v>43497</c:v>
                </c:pt>
                <c:pt idx="65">
                  <c:v>43500</c:v>
                </c:pt>
                <c:pt idx="66">
                  <c:v>43501</c:v>
                </c:pt>
                <c:pt idx="67">
                  <c:v>43502</c:v>
                </c:pt>
                <c:pt idx="68">
                  <c:v>43503</c:v>
                </c:pt>
                <c:pt idx="69">
                  <c:v>43504</c:v>
                </c:pt>
                <c:pt idx="70">
                  <c:v>43507</c:v>
                </c:pt>
                <c:pt idx="71">
                  <c:v>43508</c:v>
                </c:pt>
                <c:pt idx="72">
                  <c:v>43509</c:v>
                </c:pt>
                <c:pt idx="73">
                  <c:v>43510</c:v>
                </c:pt>
                <c:pt idx="74">
                  <c:v>43511</c:v>
                </c:pt>
                <c:pt idx="75">
                  <c:v>43514</c:v>
                </c:pt>
                <c:pt idx="76">
                  <c:v>43515</c:v>
                </c:pt>
                <c:pt idx="77">
                  <c:v>43516</c:v>
                </c:pt>
                <c:pt idx="78">
                  <c:v>43517</c:v>
                </c:pt>
                <c:pt idx="79">
                  <c:v>43518</c:v>
                </c:pt>
                <c:pt idx="80">
                  <c:v>43521</c:v>
                </c:pt>
                <c:pt idx="81">
                  <c:v>43522</c:v>
                </c:pt>
                <c:pt idx="82">
                  <c:v>43523</c:v>
                </c:pt>
                <c:pt idx="83">
                  <c:v>43524</c:v>
                </c:pt>
                <c:pt idx="84">
                  <c:v>43525</c:v>
                </c:pt>
                <c:pt idx="85">
                  <c:v>43528</c:v>
                </c:pt>
                <c:pt idx="86">
                  <c:v>43529</c:v>
                </c:pt>
                <c:pt idx="87">
                  <c:v>43530</c:v>
                </c:pt>
                <c:pt idx="88">
                  <c:v>43531</c:v>
                </c:pt>
                <c:pt idx="89">
                  <c:v>43532</c:v>
                </c:pt>
                <c:pt idx="90">
                  <c:v>43535</c:v>
                </c:pt>
                <c:pt idx="91">
                  <c:v>43536</c:v>
                </c:pt>
                <c:pt idx="92">
                  <c:v>43537</c:v>
                </c:pt>
                <c:pt idx="93">
                  <c:v>43538</c:v>
                </c:pt>
                <c:pt idx="94">
                  <c:v>43539</c:v>
                </c:pt>
                <c:pt idx="95">
                  <c:v>43542</c:v>
                </c:pt>
                <c:pt idx="96">
                  <c:v>43543</c:v>
                </c:pt>
                <c:pt idx="97">
                  <c:v>43544</c:v>
                </c:pt>
                <c:pt idx="98">
                  <c:v>43545</c:v>
                </c:pt>
                <c:pt idx="99">
                  <c:v>43546</c:v>
                </c:pt>
                <c:pt idx="100">
                  <c:v>43549</c:v>
                </c:pt>
                <c:pt idx="101">
                  <c:v>43550</c:v>
                </c:pt>
                <c:pt idx="102">
                  <c:v>43551</c:v>
                </c:pt>
                <c:pt idx="103">
                  <c:v>43552</c:v>
                </c:pt>
                <c:pt idx="104">
                  <c:v>43553</c:v>
                </c:pt>
                <c:pt idx="105">
                  <c:v>43556</c:v>
                </c:pt>
                <c:pt idx="106">
                  <c:v>43557</c:v>
                </c:pt>
                <c:pt idx="107">
                  <c:v>43558</c:v>
                </c:pt>
                <c:pt idx="108">
                  <c:v>43559</c:v>
                </c:pt>
                <c:pt idx="109">
                  <c:v>43560</c:v>
                </c:pt>
                <c:pt idx="110">
                  <c:v>43563</c:v>
                </c:pt>
                <c:pt idx="111">
                  <c:v>43564</c:v>
                </c:pt>
                <c:pt idx="112">
                  <c:v>43565</c:v>
                </c:pt>
                <c:pt idx="113">
                  <c:v>43566</c:v>
                </c:pt>
                <c:pt idx="114">
                  <c:v>43567</c:v>
                </c:pt>
                <c:pt idx="115">
                  <c:v>43570</c:v>
                </c:pt>
                <c:pt idx="116">
                  <c:v>43571</c:v>
                </c:pt>
                <c:pt idx="117">
                  <c:v>43572</c:v>
                </c:pt>
                <c:pt idx="118">
                  <c:v>43573</c:v>
                </c:pt>
                <c:pt idx="119">
                  <c:v>43578</c:v>
                </c:pt>
                <c:pt idx="120">
                  <c:v>43579</c:v>
                </c:pt>
                <c:pt idx="121">
                  <c:v>43580</c:v>
                </c:pt>
                <c:pt idx="122">
                  <c:v>43581</c:v>
                </c:pt>
                <c:pt idx="123">
                  <c:v>43584</c:v>
                </c:pt>
                <c:pt idx="124">
                  <c:v>43585</c:v>
                </c:pt>
                <c:pt idx="125">
                  <c:v>43587</c:v>
                </c:pt>
                <c:pt idx="126">
                  <c:v>43588</c:v>
                </c:pt>
                <c:pt idx="127">
                  <c:v>43591</c:v>
                </c:pt>
                <c:pt idx="128">
                  <c:v>43592</c:v>
                </c:pt>
                <c:pt idx="129">
                  <c:v>43593</c:v>
                </c:pt>
                <c:pt idx="130">
                  <c:v>43594</c:v>
                </c:pt>
                <c:pt idx="131">
                  <c:v>43595</c:v>
                </c:pt>
                <c:pt idx="132">
                  <c:v>43598</c:v>
                </c:pt>
                <c:pt idx="133">
                  <c:v>43599</c:v>
                </c:pt>
                <c:pt idx="134">
                  <c:v>43600</c:v>
                </c:pt>
                <c:pt idx="135">
                  <c:v>43601</c:v>
                </c:pt>
                <c:pt idx="136">
                  <c:v>43602</c:v>
                </c:pt>
                <c:pt idx="137">
                  <c:v>43605</c:v>
                </c:pt>
                <c:pt idx="138">
                  <c:v>43606</c:v>
                </c:pt>
                <c:pt idx="139">
                  <c:v>43607</c:v>
                </c:pt>
                <c:pt idx="140">
                  <c:v>43608</c:v>
                </c:pt>
                <c:pt idx="141">
                  <c:v>43609</c:v>
                </c:pt>
                <c:pt idx="142">
                  <c:v>43612</c:v>
                </c:pt>
                <c:pt idx="143">
                  <c:v>43613</c:v>
                </c:pt>
                <c:pt idx="144">
                  <c:v>43614</c:v>
                </c:pt>
                <c:pt idx="145">
                  <c:v>43615</c:v>
                </c:pt>
                <c:pt idx="146">
                  <c:v>43616</c:v>
                </c:pt>
                <c:pt idx="147">
                  <c:v>43619</c:v>
                </c:pt>
                <c:pt idx="148">
                  <c:v>43620</c:v>
                </c:pt>
                <c:pt idx="149">
                  <c:v>43621</c:v>
                </c:pt>
                <c:pt idx="150">
                  <c:v>43622</c:v>
                </c:pt>
                <c:pt idx="151">
                  <c:v>43623</c:v>
                </c:pt>
                <c:pt idx="152">
                  <c:v>43626</c:v>
                </c:pt>
                <c:pt idx="153">
                  <c:v>43627</c:v>
                </c:pt>
                <c:pt idx="154">
                  <c:v>43628</c:v>
                </c:pt>
                <c:pt idx="155">
                  <c:v>43629</c:v>
                </c:pt>
                <c:pt idx="156">
                  <c:v>43630</c:v>
                </c:pt>
                <c:pt idx="157">
                  <c:v>43633</c:v>
                </c:pt>
                <c:pt idx="158">
                  <c:v>43634</c:v>
                </c:pt>
                <c:pt idx="159">
                  <c:v>43635</c:v>
                </c:pt>
                <c:pt idx="160">
                  <c:v>43636</c:v>
                </c:pt>
                <c:pt idx="161">
                  <c:v>43637</c:v>
                </c:pt>
                <c:pt idx="162">
                  <c:v>43640</c:v>
                </c:pt>
                <c:pt idx="163">
                  <c:v>43641</c:v>
                </c:pt>
                <c:pt idx="164">
                  <c:v>43642</c:v>
                </c:pt>
                <c:pt idx="165">
                  <c:v>43643</c:v>
                </c:pt>
                <c:pt idx="166">
                  <c:v>43644</c:v>
                </c:pt>
                <c:pt idx="167">
                  <c:v>43647</c:v>
                </c:pt>
                <c:pt idx="168">
                  <c:v>43648</c:v>
                </c:pt>
                <c:pt idx="169">
                  <c:v>43649</c:v>
                </c:pt>
                <c:pt idx="170">
                  <c:v>43650</c:v>
                </c:pt>
                <c:pt idx="171">
                  <c:v>43651</c:v>
                </c:pt>
                <c:pt idx="172">
                  <c:v>43654</c:v>
                </c:pt>
                <c:pt idx="173">
                  <c:v>43655</c:v>
                </c:pt>
                <c:pt idx="174">
                  <c:v>43656</c:v>
                </c:pt>
                <c:pt idx="175">
                  <c:v>43657</c:v>
                </c:pt>
                <c:pt idx="176">
                  <c:v>43658</c:v>
                </c:pt>
                <c:pt idx="177">
                  <c:v>43661</c:v>
                </c:pt>
                <c:pt idx="178">
                  <c:v>43662</c:v>
                </c:pt>
                <c:pt idx="179">
                  <c:v>43663</c:v>
                </c:pt>
                <c:pt idx="180">
                  <c:v>43664</c:v>
                </c:pt>
                <c:pt idx="181">
                  <c:v>43665</c:v>
                </c:pt>
                <c:pt idx="182">
                  <c:v>43668</c:v>
                </c:pt>
                <c:pt idx="183">
                  <c:v>43669</c:v>
                </c:pt>
                <c:pt idx="184">
                  <c:v>43670</c:v>
                </c:pt>
                <c:pt idx="185">
                  <c:v>43671</c:v>
                </c:pt>
                <c:pt idx="186">
                  <c:v>43672</c:v>
                </c:pt>
                <c:pt idx="187">
                  <c:v>43675</c:v>
                </c:pt>
                <c:pt idx="188">
                  <c:v>43676</c:v>
                </c:pt>
                <c:pt idx="189">
                  <c:v>43677</c:v>
                </c:pt>
                <c:pt idx="190">
                  <c:v>43678</c:v>
                </c:pt>
                <c:pt idx="191">
                  <c:v>43679</c:v>
                </c:pt>
                <c:pt idx="192">
                  <c:v>43682</c:v>
                </c:pt>
                <c:pt idx="193">
                  <c:v>43683</c:v>
                </c:pt>
                <c:pt idx="194">
                  <c:v>43684</c:v>
                </c:pt>
                <c:pt idx="195">
                  <c:v>43685</c:v>
                </c:pt>
                <c:pt idx="196">
                  <c:v>43686</c:v>
                </c:pt>
                <c:pt idx="197">
                  <c:v>43689</c:v>
                </c:pt>
                <c:pt idx="198">
                  <c:v>43690</c:v>
                </c:pt>
                <c:pt idx="199">
                  <c:v>43691</c:v>
                </c:pt>
                <c:pt idx="200">
                  <c:v>43692</c:v>
                </c:pt>
                <c:pt idx="201">
                  <c:v>43693</c:v>
                </c:pt>
                <c:pt idx="202">
                  <c:v>43696</c:v>
                </c:pt>
                <c:pt idx="203">
                  <c:v>43697</c:v>
                </c:pt>
                <c:pt idx="204">
                  <c:v>43698</c:v>
                </c:pt>
                <c:pt idx="205">
                  <c:v>43699</c:v>
                </c:pt>
                <c:pt idx="206">
                  <c:v>43700</c:v>
                </c:pt>
                <c:pt idx="207">
                  <c:v>43703</c:v>
                </c:pt>
                <c:pt idx="208">
                  <c:v>43704</c:v>
                </c:pt>
                <c:pt idx="209">
                  <c:v>43705</c:v>
                </c:pt>
                <c:pt idx="210">
                  <c:v>43706</c:v>
                </c:pt>
                <c:pt idx="211">
                  <c:v>43707</c:v>
                </c:pt>
                <c:pt idx="212">
                  <c:v>43710</c:v>
                </c:pt>
                <c:pt idx="213">
                  <c:v>43711</c:v>
                </c:pt>
                <c:pt idx="214">
                  <c:v>43712</c:v>
                </c:pt>
                <c:pt idx="215">
                  <c:v>43713</c:v>
                </c:pt>
                <c:pt idx="216">
                  <c:v>43714</c:v>
                </c:pt>
                <c:pt idx="217">
                  <c:v>43717</c:v>
                </c:pt>
                <c:pt idx="218">
                  <c:v>43718</c:v>
                </c:pt>
                <c:pt idx="219">
                  <c:v>43719</c:v>
                </c:pt>
                <c:pt idx="220">
                  <c:v>43720</c:v>
                </c:pt>
                <c:pt idx="221">
                  <c:v>43721</c:v>
                </c:pt>
                <c:pt idx="222">
                  <c:v>43724</c:v>
                </c:pt>
                <c:pt idx="223">
                  <c:v>43725</c:v>
                </c:pt>
                <c:pt idx="224">
                  <c:v>43726</c:v>
                </c:pt>
                <c:pt idx="225">
                  <c:v>43727</c:v>
                </c:pt>
                <c:pt idx="226">
                  <c:v>43728</c:v>
                </c:pt>
                <c:pt idx="227">
                  <c:v>43731</c:v>
                </c:pt>
                <c:pt idx="228">
                  <c:v>43732</c:v>
                </c:pt>
                <c:pt idx="229">
                  <c:v>43733</c:v>
                </c:pt>
                <c:pt idx="230">
                  <c:v>43734</c:v>
                </c:pt>
                <c:pt idx="231">
                  <c:v>43735</c:v>
                </c:pt>
                <c:pt idx="232">
                  <c:v>43738</c:v>
                </c:pt>
                <c:pt idx="233">
                  <c:v>43739</c:v>
                </c:pt>
                <c:pt idx="234">
                  <c:v>43740</c:v>
                </c:pt>
                <c:pt idx="235">
                  <c:v>43741</c:v>
                </c:pt>
                <c:pt idx="236">
                  <c:v>43742</c:v>
                </c:pt>
                <c:pt idx="237">
                  <c:v>43745</c:v>
                </c:pt>
                <c:pt idx="238">
                  <c:v>43746</c:v>
                </c:pt>
                <c:pt idx="239">
                  <c:v>43747</c:v>
                </c:pt>
                <c:pt idx="240">
                  <c:v>43748</c:v>
                </c:pt>
                <c:pt idx="241">
                  <c:v>43749</c:v>
                </c:pt>
                <c:pt idx="242">
                  <c:v>43752</c:v>
                </c:pt>
                <c:pt idx="243">
                  <c:v>43753</c:v>
                </c:pt>
                <c:pt idx="244">
                  <c:v>43754</c:v>
                </c:pt>
                <c:pt idx="245">
                  <c:v>43755</c:v>
                </c:pt>
                <c:pt idx="246">
                  <c:v>43756</c:v>
                </c:pt>
                <c:pt idx="247">
                  <c:v>43759</c:v>
                </c:pt>
                <c:pt idx="248">
                  <c:v>43760</c:v>
                </c:pt>
                <c:pt idx="249">
                  <c:v>43761</c:v>
                </c:pt>
                <c:pt idx="250">
                  <c:v>43762</c:v>
                </c:pt>
                <c:pt idx="251">
                  <c:v>43763</c:v>
                </c:pt>
                <c:pt idx="252">
                  <c:v>43766</c:v>
                </c:pt>
                <c:pt idx="253">
                  <c:v>43767</c:v>
                </c:pt>
                <c:pt idx="254">
                  <c:v>43768</c:v>
                </c:pt>
                <c:pt idx="255">
                  <c:v>43769</c:v>
                </c:pt>
              </c:numCache>
            </c:numRef>
          </c:cat>
          <c:val>
            <c:numRef>
              <c:f>'ΣΤΟΙΧΕΙΑ ΓΙΑ ΠΡΟΥΠ 2018'!$G$3:$G$1535</c:f>
              <c:numCache>
                <c:formatCode>General</c:formatCode>
                <c:ptCount val="256"/>
                <c:pt idx="0">
                  <c:v>1.8640000000000001</c:v>
                </c:pt>
                <c:pt idx="1">
                  <c:v>1.875</c:v>
                </c:pt>
                <c:pt idx="2">
                  <c:v>1.873</c:v>
                </c:pt>
                <c:pt idx="3">
                  <c:v>1.877</c:v>
                </c:pt>
                <c:pt idx="4">
                  <c:v>1.891</c:v>
                </c:pt>
                <c:pt idx="5">
                  <c:v>1.917</c:v>
                </c:pt>
                <c:pt idx="6">
                  <c:v>1.9319999999999955</c:v>
                </c:pt>
                <c:pt idx="7">
                  <c:v>1.9370000000000001</c:v>
                </c:pt>
                <c:pt idx="8">
                  <c:v>1.9400000000000044</c:v>
                </c:pt>
                <c:pt idx="9">
                  <c:v>1.9400000000000044</c:v>
                </c:pt>
                <c:pt idx="10">
                  <c:v>1.9570000000000001</c:v>
                </c:pt>
                <c:pt idx="11">
                  <c:v>1.9590000000000001</c:v>
                </c:pt>
                <c:pt idx="12">
                  <c:v>1.9630000000000001</c:v>
                </c:pt>
                <c:pt idx="13">
                  <c:v>1.9780000000000049</c:v>
                </c:pt>
                <c:pt idx="14">
                  <c:v>1.9750000000000001</c:v>
                </c:pt>
                <c:pt idx="15">
                  <c:v>1.9520000000000044</c:v>
                </c:pt>
                <c:pt idx="16">
                  <c:v>1.9410000000000001</c:v>
                </c:pt>
                <c:pt idx="17">
                  <c:v>1.9339999999999955</c:v>
                </c:pt>
                <c:pt idx="18">
                  <c:v>1.877999999999995</c:v>
                </c:pt>
                <c:pt idx="19">
                  <c:v>1.873</c:v>
                </c:pt>
                <c:pt idx="20">
                  <c:v>1.86</c:v>
                </c:pt>
                <c:pt idx="21">
                  <c:v>1.821</c:v>
                </c:pt>
                <c:pt idx="22">
                  <c:v>1.8180000000000001</c:v>
                </c:pt>
                <c:pt idx="23">
                  <c:v>1.7969999999999955</c:v>
                </c:pt>
                <c:pt idx="24">
                  <c:v>1.802</c:v>
                </c:pt>
                <c:pt idx="25">
                  <c:v>1.788999999999995</c:v>
                </c:pt>
                <c:pt idx="26">
                  <c:v>1.8049999999999955</c:v>
                </c:pt>
                <c:pt idx="27">
                  <c:v>1.7909999999999953</c:v>
                </c:pt>
                <c:pt idx="28">
                  <c:v>1.776</c:v>
                </c:pt>
                <c:pt idx="29">
                  <c:v>1.7469999999999952</c:v>
                </c:pt>
                <c:pt idx="30">
                  <c:v>1.714</c:v>
                </c:pt>
                <c:pt idx="31">
                  <c:v>1.663</c:v>
                </c:pt>
                <c:pt idx="32">
                  <c:v>1.657999999999995</c:v>
                </c:pt>
                <c:pt idx="33">
                  <c:v>1.639</c:v>
                </c:pt>
                <c:pt idx="34">
                  <c:v>1.6240000000000001</c:v>
                </c:pt>
                <c:pt idx="35">
                  <c:v>1.637999999999995</c:v>
                </c:pt>
                <c:pt idx="36">
                  <c:v>1.643999999999995</c:v>
                </c:pt>
                <c:pt idx="37">
                  <c:v>1.667</c:v>
                </c:pt>
                <c:pt idx="38">
                  <c:v>1.667</c:v>
                </c:pt>
                <c:pt idx="39">
                  <c:v>1.671</c:v>
                </c:pt>
                <c:pt idx="40">
                  <c:v>1.706</c:v>
                </c:pt>
                <c:pt idx="41">
                  <c:v>1.706</c:v>
                </c:pt>
                <c:pt idx="42">
                  <c:v>1.7009999999999947</c:v>
                </c:pt>
                <c:pt idx="43">
                  <c:v>1.758</c:v>
                </c:pt>
                <c:pt idx="44">
                  <c:v>1.7969999999999955</c:v>
                </c:pt>
                <c:pt idx="45">
                  <c:v>1.8120000000000001</c:v>
                </c:pt>
                <c:pt idx="46">
                  <c:v>1.8140000000000001</c:v>
                </c:pt>
                <c:pt idx="47">
                  <c:v>1.766</c:v>
                </c:pt>
                <c:pt idx="48">
                  <c:v>1.708</c:v>
                </c:pt>
                <c:pt idx="49">
                  <c:v>1.6970000000000001</c:v>
                </c:pt>
                <c:pt idx="50">
                  <c:v>1.6759999999999955</c:v>
                </c:pt>
                <c:pt idx="51">
                  <c:v>1.651999999999995</c:v>
                </c:pt>
                <c:pt idx="52">
                  <c:v>1.782</c:v>
                </c:pt>
                <c:pt idx="53">
                  <c:v>1.7489999999999952</c:v>
                </c:pt>
                <c:pt idx="54">
                  <c:v>1.718</c:v>
                </c:pt>
                <c:pt idx="55">
                  <c:v>1.744</c:v>
                </c:pt>
                <c:pt idx="56">
                  <c:v>1.72</c:v>
                </c:pt>
                <c:pt idx="57">
                  <c:v>1.7069999999999947</c:v>
                </c:pt>
                <c:pt idx="58">
                  <c:v>1.643999999999995</c:v>
                </c:pt>
                <c:pt idx="59">
                  <c:v>1.639</c:v>
                </c:pt>
                <c:pt idx="60">
                  <c:v>1.641999999999995</c:v>
                </c:pt>
                <c:pt idx="61">
                  <c:v>1.661</c:v>
                </c:pt>
                <c:pt idx="62">
                  <c:v>1.659</c:v>
                </c:pt>
                <c:pt idx="63">
                  <c:v>1.615</c:v>
                </c:pt>
                <c:pt idx="64">
                  <c:v>1.633999999999995</c:v>
                </c:pt>
                <c:pt idx="65">
                  <c:v>1.6500000000000001</c:v>
                </c:pt>
                <c:pt idx="66">
                  <c:v>1.655999999999995</c:v>
                </c:pt>
                <c:pt idx="67">
                  <c:v>1.655999999999995</c:v>
                </c:pt>
                <c:pt idx="68">
                  <c:v>1.651</c:v>
                </c:pt>
                <c:pt idx="69">
                  <c:v>1.645</c:v>
                </c:pt>
                <c:pt idx="70">
                  <c:v>1.647</c:v>
                </c:pt>
                <c:pt idx="71">
                  <c:v>1.629</c:v>
                </c:pt>
                <c:pt idx="72">
                  <c:v>1.589</c:v>
                </c:pt>
                <c:pt idx="73">
                  <c:v>1.5649999999999955</c:v>
                </c:pt>
                <c:pt idx="74">
                  <c:v>1.554</c:v>
                </c:pt>
                <c:pt idx="75">
                  <c:v>1.502</c:v>
                </c:pt>
                <c:pt idx="76">
                  <c:v>1.5</c:v>
                </c:pt>
                <c:pt idx="77">
                  <c:v>1.512</c:v>
                </c:pt>
                <c:pt idx="78">
                  <c:v>1.504999999999995</c:v>
                </c:pt>
                <c:pt idx="79">
                  <c:v>1.478</c:v>
                </c:pt>
                <c:pt idx="80">
                  <c:v>1.458</c:v>
                </c:pt>
                <c:pt idx="81">
                  <c:v>1.4259999999999911</c:v>
                </c:pt>
                <c:pt idx="82">
                  <c:v>1.446</c:v>
                </c:pt>
                <c:pt idx="83">
                  <c:v>1.464</c:v>
                </c:pt>
                <c:pt idx="84">
                  <c:v>1.4809999999999948</c:v>
                </c:pt>
                <c:pt idx="85">
                  <c:v>1.458</c:v>
                </c:pt>
                <c:pt idx="86">
                  <c:v>1.452</c:v>
                </c:pt>
                <c:pt idx="87">
                  <c:v>1.4169999999999936</c:v>
                </c:pt>
                <c:pt idx="88">
                  <c:v>1.3320000000000001</c:v>
                </c:pt>
                <c:pt idx="89">
                  <c:v>1.34</c:v>
                </c:pt>
                <c:pt idx="90">
                  <c:v>1.31</c:v>
                </c:pt>
                <c:pt idx="91">
                  <c:v>1.3280000000000001</c:v>
                </c:pt>
                <c:pt idx="92">
                  <c:v>1.3360000000000001</c:v>
                </c:pt>
                <c:pt idx="93">
                  <c:v>1.3240000000000001</c:v>
                </c:pt>
                <c:pt idx="94">
                  <c:v>1.3009999999999955</c:v>
                </c:pt>
                <c:pt idx="95">
                  <c:v>1.254</c:v>
                </c:pt>
                <c:pt idx="96">
                  <c:v>1.292</c:v>
                </c:pt>
                <c:pt idx="97">
                  <c:v>1.3080000000000001</c:v>
                </c:pt>
                <c:pt idx="98">
                  <c:v>1.274</c:v>
                </c:pt>
                <c:pt idx="99">
                  <c:v>1.25</c:v>
                </c:pt>
                <c:pt idx="100">
                  <c:v>1.284</c:v>
                </c:pt>
                <c:pt idx="101">
                  <c:v>1.284</c:v>
                </c:pt>
                <c:pt idx="102">
                  <c:v>1.25</c:v>
                </c:pt>
                <c:pt idx="103">
                  <c:v>1.262</c:v>
                </c:pt>
                <c:pt idx="104">
                  <c:v>1.242</c:v>
                </c:pt>
                <c:pt idx="105">
                  <c:v>1.266999999999995</c:v>
                </c:pt>
                <c:pt idx="106">
                  <c:v>1.2449999999999952</c:v>
                </c:pt>
                <c:pt idx="107">
                  <c:v>1.262</c:v>
                </c:pt>
                <c:pt idx="108">
                  <c:v>1.256</c:v>
                </c:pt>
                <c:pt idx="109">
                  <c:v>1.2489999999999952</c:v>
                </c:pt>
                <c:pt idx="110">
                  <c:v>1.218</c:v>
                </c:pt>
                <c:pt idx="111">
                  <c:v>1.1900000000000044</c:v>
                </c:pt>
                <c:pt idx="112">
                  <c:v>1.159</c:v>
                </c:pt>
                <c:pt idx="113">
                  <c:v>1.123</c:v>
                </c:pt>
                <c:pt idx="114">
                  <c:v>1.163</c:v>
                </c:pt>
                <c:pt idx="115">
                  <c:v>1.1870000000000001</c:v>
                </c:pt>
                <c:pt idx="116">
                  <c:v>1.1859999999999955</c:v>
                </c:pt>
                <c:pt idx="117">
                  <c:v>1.1980000000000044</c:v>
                </c:pt>
                <c:pt idx="118">
                  <c:v>1.151999999999995</c:v>
                </c:pt>
                <c:pt idx="119">
                  <c:v>1.1940000000000044</c:v>
                </c:pt>
                <c:pt idx="120">
                  <c:v>1.163999999999995</c:v>
                </c:pt>
                <c:pt idx="121">
                  <c:v>1.179</c:v>
                </c:pt>
                <c:pt idx="122">
                  <c:v>1.123</c:v>
                </c:pt>
                <c:pt idx="123">
                  <c:v>1.117</c:v>
                </c:pt>
                <c:pt idx="124">
                  <c:v>1.109</c:v>
                </c:pt>
                <c:pt idx="125">
                  <c:v>1.105</c:v>
                </c:pt>
                <c:pt idx="126">
                  <c:v>1.1120000000000001</c:v>
                </c:pt>
                <c:pt idx="127">
                  <c:v>1.107</c:v>
                </c:pt>
                <c:pt idx="128">
                  <c:v>1.087</c:v>
                </c:pt>
                <c:pt idx="129">
                  <c:v>1.079</c:v>
                </c:pt>
                <c:pt idx="130">
                  <c:v>1.1060000000000001</c:v>
                </c:pt>
                <c:pt idx="131">
                  <c:v>1.1080000000000001</c:v>
                </c:pt>
                <c:pt idx="132">
                  <c:v>1.143</c:v>
                </c:pt>
                <c:pt idx="133">
                  <c:v>1.129999999999995</c:v>
                </c:pt>
                <c:pt idx="134">
                  <c:v>1.1160000000000001</c:v>
                </c:pt>
                <c:pt idx="135">
                  <c:v>1.071</c:v>
                </c:pt>
                <c:pt idx="136">
                  <c:v>1.0429999999999955</c:v>
                </c:pt>
                <c:pt idx="137">
                  <c:v>1.0509999999999955</c:v>
                </c:pt>
                <c:pt idx="138">
                  <c:v>1.024</c:v>
                </c:pt>
                <c:pt idx="139">
                  <c:v>1.02</c:v>
                </c:pt>
                <c:pt idx="140">
                  <c:v>1.004999999999995</c:v>
                </c:pt>
                <c:pt idx="141">
                  <c:v>0.96600000000000064</c:v>
                </c:pt>
                <c:pt idx="142">
                  <c:v>0.94399999999999995</c:v>
                </c:pt>
                <c:pt idx="143">
                  <c:v>0.91200000000000003</c:v>
                </c:pt>
                <c:pt idx="144">
                  <c:v>0.84300000000000064</c:v>
                </c:pt>
                <c:pt idx="145">
                  <c:v>0.85500000000000065</c:v>
                </c:pt>
                <c:pt idx="146">
                  <c:v>0.80100000000000005</c:v>
                </c:pt>
                <c:pt idx="147">
                  <c:v>0.75200000000000244</c:v>
                </c:pt>
                <c:pt idx="148">
                  <c:v>0.71500000000000064</c:v>
                </c:pt>
                <c:pt idx="149">
                  <c:v>0.67000000000000293</c:v>
                </c:pt>
                <c:pt idx="150">
                  <c:v>0.66100000000000292</c:v>
                </c:pt>
                <c:pt idx="151">
                  <c:v>0.61200000000000065</c:v>
                </c:pt>
                <c:pt idx="152">
                  <c:v>0.67100000000000293</c:v>
                </c:pt>
                <c:pt idx="153">
                  <c:v>0.63900000000000245</c:v>
                </c:pt>
                <c:pt idx="154">
                  <c:v>0.64700000000000246</c:v>
                </c:pt>
                <c:pt idx="155">
                  <c:v>0.63500000000000245</c:v>
                </c:pt>
                <c:pt idx="156">
                  <c:v>0.60100000000000064</c:v>
                </c:pt>
                <c:pt idx="157">
                  <c:v>0.63100000000000245</c:v>
                </c:pt>
                <c:pt idx="158">
                  <c:v>0.52300000000000002</c:v>
                </c:pt>
                <c:pt idx="159">
                  <c:v>0.54300000000000004</c:v>
                </c:pt>
                <c:pt idx="160">
                  <c:v>0.52900000000000003</c:v>
                </c:pt>
                <c:pt idx="161">
                  <c:v>0.56699999999999995</c:v>
                </c:pt>
                <c:pt idx="162">
                  <c:v>0.51900000000000002</c:v>
                </c:pt>
                <c:pt idx="163">
                  <c:v>0.47200000000000031</c:v>
                </c:pt>
                <c:pt idx="164">
                  <c:v>0.46800000000000008</c:v>
                </c:pt>
                <c:pt idx="165">
                  <c:v>0.47300000000000031</c:v>
                </c:pt>
                <c:pt idx="166">
                  <c:v>0.46900000000000008</c:v>
                </c:pt>
                <c:pt idx="167">
                  <c:v>0.40400000000000008</c:v>
                </c:pt>
                <c:pt idx="168">
                  <c:v>0.35600000000000032</c:v>
                </c:pt>
                <c:pt idx="169">
                  <c:v>0.28400000000000031</c:v>
                </c:pt>
                <c:pt idx="170">
                  <c:v>0.32400000000000123</c:v>
                </c:pt>
                <c:pt idx="171">
                  <c:v>0.42400000000000032</c:v>
                </c:pt>
                <c:pt idx="172">
                  <c:v>0.48400000000000032</c:v>
                </c:pt>
                <c:pt idx="173">
                  <c:v>0.46500000000000002</c:v>
                </c:pt>
                <c:pt idx="174">
                  <c:v>0.49400000000000038</c:v>
                </c:pt>
                <c:pt idx="175">
                  <c:v>0.55900000000000005</c:v>
                </c:pt>
                <c:pt idx="176">
                  <c:v>0.64400000000000246</c:v>
                </c:pt>
                <c:pt idx="177">
                  <c:v>0.57700000000000062</c:v>
                </c:pt>
                <c:pt idx="178">
                  <c:v>0.54300000000000004</c:v>
                </c:pt>
                <c:pt idx="179">
                  <c:v>0.502</c:v>
                </c:pt>
                <c:pt idx="180">
                  <c:v>0.46</c:v>
                </c:pt>
                <c:pt idx="181">
                  <c:v>0.44400000000000001</c:v>
                </c:pt>
                <c:pt idx="182">
                  <c:v>0.45300000000000001</c:v>
                </c:pt>
                <c:pt idx="183">
                  <c:v>0.44800000000000001</c:v>
                </c:pt>
                <c:pt idx="184">
                  <c:v>0.40600000000000008</c:v>
                </c:pt>
                <c:pt idx="185">
                  <c:v>0.41500000000000031</c:v>
                </c:pt>
                <c:pt idx="186">
                  <c:v>0.42700000000000032</c:v>
                </c:pt>
                <c:pt idx="187">
                  <c:v>0.41000000000000031</c:v>
                </c:pt>
                <c:pt idx="188">
                  <c:v>0.39800000000000146</c:v>
                </c:pt>
                <c:pt idx="189">
                  <c:v>0.33700000000000147</c:v>
                </c:pt>
                <c:pt idx="190">
                  <c:v>0.33600000000000146</c:v>
                </c:pt>
                <c:pt idx="191">
                  <c:v>0.28100000000000008</c:v>
                </c:pt>
                <c:pt idx="192">
                  <c:v>0.27500000000000002</c:v>
                </c:pt>
                <c:pt idx="193">
                  <c:v>0.251</c:v>
                </c:pt>
                <c:pt idx="194">
                  <c:v>0.17800000000000021</c:v>
                </c:pt>
                <c:pt idx="195">
                  <c:v>0.23600000000000004</c:v>
                </c:pt>
                <c:pt idx="196">
                  <c:v>0.27200000000000002</c:v>
                </c:pt>
                <c:pt idx="197">
                  <c:v>0.23200000000000001</c:v>
                </c:pt>
                <c:pt idx="198">
                  <c:v>0.224</c:v>
                </c:pt>
                <c:pt idx="199">
                  <c:v>0.16300000000000001</c:v>
                </c:pt>
                <c:pt idx="200">
                  <c:v>5.8000000000000003E-2</c:v>
                </c:pt>
                <c:pt idx="201">
                  <c:v>9.2000000000000026E-2</c:v>
                </c:pt>
                <c:pt idx="202">
                  <c:v>0.14900000000000024</c:v>
                </c:pt>
                <c:pt idx="203">
                  <c:v>0.113</c:v>
                </c:pt>
                <c:pt idx="204">
                  <c:v>0.12300000000000012</c:v>
                </c:pt>
                <c:pt idx="205">
                  <c:v>0.16300000000000001</c:v>
                </c:pt>
                <c:pt idx="206">
                  <c:v>0.15400000000000041</c:v>
                </c:pt>
                <c:pt idx="207">
                  <c:v>0.15400000000000041</c:v>
                </c:pt>
                <c:pt idx="208">
                  <c:v>0.10400000000000002</c:v>
                </c:pt>
                <c:pt idx="209">
                  <c:v>8.5000000000000006E-2</c:v>
                </c:pt>
                <c:pt idx="210">
                  <c:v>0.115</c:v>
                </c:pt>
                <c:pt idx="211">
                  <c:v>0.113</c:v>
                </c:pt>
                <c:pt idx="212">
                  <c:v>0.12300000000000012</c:v>
                </c:pt>
                <c:pt idx="213">
                  <c:v>0.114</c:v>
                </c:pt>
                <c:pt idx="214">
                  <c:v>0.15200000000000041</c:v>
                </c:pt>
                <c:pt idx="215">
                  <c:v>0.23700000000000004</c:v>
                </c:pt>
                <c:pt idx="216">
                  <c:v>0.18300000000000041</c:v>
                </c:pt>
                <c:pt idx="217">
                  <c:v>0.23600000000000004</c:v>
                </c:pt>
                <c:pt idx="218">
                  <c:v>0.26900000000000002</c:v>
                </c:pt>
                <c:pt idx="219">
                  <c:v>0.25900000000000001</c:v>
                </c:pt>
                <c:pt idx="220">
                  <c:v>0.22500000000000001</c:v>
                </c:pt>
                <c:pt idx="221">
                  <c:v>0.30900000000000111</c:v>
                </c:pt>
                <c:pt idx="222">
                  <c:v>0.26200000000000001</c:v>
                </c:pt>
                <c:pt idx="223">
                  <c:v>0.30200000000000032</c:v>
                </c:pt>
                <c:pt idx="224">
                  <c:v>0.23200000000000001</c:v>
                </c:pt>
                <c:pt idx="225">
                  <c:v>0.25800000000000001</c:v>
                </c:pt>
                <c:pt idx="226">
                  <c:v>0.23900000000000021</c:v>
                </c:pt>
                <c:pt idx="227">
                  <c:v>0.16600000000000001</c:v>
                </c:pt>
                <c:pt idx="228">
                  <c:v>0.13600000000000001</c:v>
                </c:pt>
                <c:pt idx="229">
                  <c:v>0.15000000000000024</c:v>
                </c:pt>
                <c:pt idx="230">
                  <c:v>0.16600000000000001</c:v>
                </c:pt>
                <c:pt idx="231">
                  <c:v>0.16</c:v>
                </c:pt>
                <c:pt idx="232">
                  <c:v>0.15200000000000041</c:v>
                </c:pt>
                <c:pt idx="233">
                  <c:v>0.16600000000000001</c:v>
                </c:pt>
                <c:pt idx="234">
                  <c:v>0.17800000000000021</c:v>
                </c:pt>
                <c:pt idx="235">
                  <c:v>0.13700000000000001</c:v>
                </c:pt>
                <c:pt idx="236">
                  <c:v>0.13200000000000001</c:v>
                </c:pt>
                <c:pt idx="237">
                  <c:v>0.128</c:v>
                </c:pt>
                <c:pt idx="238">
                  <c:v>0.11</c:v>
                </c:pt>
                <c:pt idx="239">
                  <c:v>0.127</c:v>
                </c:pt>
                <c:pt idx="240">
                  <c:v>0.19400000000000001</c:v>
                </c:pt>
                <c:pt idx="241">
                  <c:v>0.19500000000000001</c:v>
                </c:pt>
                <c:pt idx="242">
                  <c:v>0.16800000000000001</c:v>
                </c:pt>
                <c:pt idx="243">
                  <c:v>0.17400000000000004</c:v>
                </c:pt>
                <c:pt idx="244">
                  <c:v>0.19700000000000001</c:v>
                </c:pt>
                <c:pt idx="245">
                  <c:v>0.17100000000000001</c:v>
                </c:pt>
                <c:pt idx="246">
                  <c:v>0.18800000000000044</c:v>
                </c:pt>
                <c:pt idx="247">
                  <c:v>0.23100000000000001</c:v>
                </c:pt>
                <c:pt idx="248">
                  <c:v>0.20500000000000004</c:v>
                </c:pt>
                <c:pt idx="249">
                  <c:v>0.191</c:v>
                </c:pt>
                <c:pt idx="250">
                  <c:v>0.17800000000000021</c:v>
                </c:pt>
                <c:pt idx="251">
                  <c:v>0.21300000000000024</c:v>
                </c:pt>
                <c:pt idx="252">
                  <c:v>0.24300000000000024</c:v>
                </c:pt>
                <c:pt idx="253">
                  <c:v>0.222</c:v>
                </c:pt>
                <c:pt idx="254">
                  <c:v>0.20600000000000004</c:v>
                </c:pt>
                <c:pt idx="255">
                  <c:v>0.15700000000000044</c:v>
                </c:pt>
              </c:numCache>
            </c:numRef>
          </c:val>
        </c:ser>
        <c:ser>
          <c:idx val="6"/>
          <c:order val="6"/>
          <c:tx>
            <c:strRef>
              <c:f>'ΣΤΟΙΧΕΙΑ ΓΙΑ ΠΡΟΥΠ 2018'!$H$2</c:f>
              <c:strCache>
                <c:ptCount val="1"/>
                <c:pt idx="0">
                  <c:v>ΙΣΠΑΝΙΑ</c:v>
                </c:pt>
              </c:strCache>
            </c:strRef>
          </c:tx>
          <c:spPr>
            <a:ln>
              <a:solidFill>
                <a:srgbClr val="FFC000"/>
              </a:solidFill>
            </a:ln>
          </c:spPr>
          <c:marker>
            <c:symbol val="none"/>
          </c:marker>
          <c:cat>
            <c:numRef>
              <c:f>'ΣΤΟΙΧΕΙΑ ΓΙΑ ΠΡΟΥΠ 2018'!$A$3:$A$1535</c:f>
              <c:numCache>
                <c:formatCode>d/m/yyyy</c:formatCode>
                <c:ptCount val="256"/>
                <c:pt idx="0">
                  <c:v>43404</c:v>
                </c:pt>
                <c:pt idx="1">
                  <c:v>43405</c:v>
                </c:pt>
                <c:pt idx="2">
                  <c:v>43406</c:v>
                </c:pt>
                <c:pt idx="3">
                  <c:v>43409</c:v>
                </c:pt>
                <c:pt idx="4">
                  <c:v>43410</c:v>
                </c:pt>
                <c:pt idx="5">
                  <c:v>43411</c:v>
                </c:pt>
                <c:pt idx="6">
                  <c:v>43412</c:v>
                </c:pt>
                <c:pt idx="7">
                  <c:v>43413</c:v>
                </c:pt>
                <c:pt idx="8">
                  <c:v>43416</c:v>
                </c:pt>
                <c:pt idx="9">
                  <c:v>43417</c:v>
                </c:pt>
                <c:pt idx="10">
                  <c:v>43418</c:v>
                </c:pt>
                <c:pt idx="11">
                  <c:v>43419</c:v>
                </c:pt>
                <c:pt idx="12">
                  <c:v>43420</c:v>
                </c:pt>
                <c:pt idx="13">
                  <c:v>43423</c:v>
                </c:pt>
                <c:pt idx="14">
                  <c:v>43424</c:v>
                </c:pt>
                <c:pt idx="15">
                  <c:v>43425</c:v>
                </c:pt>
                <c:pt idx="16">
                  <c:v>43426</c:v>
                </c:pt>
                <c:pt idx="17">
                  <c:v>43427</c:v>
                </c:pt>
                <c:pt idx="18">
                  <c:v>43430</c:v>
                </c:pt>
                <c:pt idx="19">
                  <c:v>43431</c:v>
                </c:pt>
                <c:pt idx="20">
                  <c:v>43432</c:v>
                </c:pt>
                <c:pt idx="21">
                  <c:v>43433</c:v>
                </c:pt>
                <c:pt idx="22">
                  <c:v>43434</c:v>
                </c:pt>
                <c:pt idx="23">
                  <c:v>43437</c:v>
                </c:pt>
                <c:pt idx="24">
                  <c:v>43438</c:v>
                </c:pt>
                <c:pt idx="25">
                  <c:v>43439</c:v>
                </c:pt>
                <c:pt idx="26">
                  <c:v>43440</c:v>
                </c:pt>
                <c:pt idx="27">
                  <c:v>43441</c:v>
                </c:pt>
                <c:pt idx="28">
                  <c:v>43444</c:v>
                </c:pt>
                <c:pt idx="29">
                  <c:v>43445</c:v>
                </c:pt>
                <c:pt idx="30">
                  <c:v>43446</c:v>
                </c:pt>
                <c:pt idx="31">
                  <c:v>43447</c:v>
                </c:pt>
                <c:pt idx="32">
                  <c:v>43448</c:v>
                </c:pt>
                <c:pt idx="33">
                  <c:v>43451</c:v>
                </c:pt>
                <c:pt idx="34">
                  <c:v>43452</c:v>
                </c:pt>
                <c:pt idx="35">
                  <c:v>43453</c:v>
                </c:pt>
                <c:pt idx="36">
                  <c:v>43454</c:v>
                </c:pt>
                <c:pt idx="37">
                  <c:v>43455</c:v>
                </c:pt>
                <c:pt idx="38">
                  <c:v>43458</c:v>
                </c:pt>
                <c:pt idx="39">
                  <c:v>43461</c:v>
                </c:pt>
                <c:pt idx="40">
                  <c:v>43462</c:v>
                </c:pt>
                <c:pt idx="41">
                  <c:v>43465</c:v>
                </c:pt>
                <c:pt idx="42">
                  <c:v>43467</c:v>
                </c:pt>
                <c:pt idx="43">
                  <c:v>43468</c:v>
                </c:pt>
                <c:pt idx="44">
                  <c:v>43469</c:v>
                </c:pt>
                <c:pt idx="45">
                  <c:v>43472</c:v>
                </c:pt>
                <c:pt idx="46">
                  <c:v>43473</c:v>
                </c:pt>
                <c:pt idx="47">
                  <c:v>43474</c:v>
                </c:pt>
                <c:pt idx="48">
                  <c:v>43475</c:v>
                </c:pt>
                <c:pt idx="49">
                  <c:v>43476</c:v>
                </c:pt>
                <c:pt idx="50">
                  <c:v>43479</c:v>
                </c:pt>
                <c:pt idx="51">
                  <c:v>43480</c:v>
                </c:pt>
                <c:pt idx="52">
                  <c:v>43481</c:v>
                </c:pt>
                <c:pt idx="53">
                  <c:v>43482</c:v>
                </c:pt>
                <c:pt idx="54">
                  <c:v>43483</c:v>
                </c:pt>
                <c:pt idx="55">
                  <c:v>43486</c:v>
                </c:pt>
                <c:pt idx="56">
                  <c:v>43487</c:v>
                </c:pt>
                <c:pt idx="57">
                  <c:v>43488</c:v>
                </c:pt>
                <c:pt idx="58">
                  <c:v>43489</c:v>
                </c:pt>
                <c:pt idx="59">
                  <c:v>43490</c:v>
                </c:pt>
                <c:pt idx="60">
                  <c:v>43493</c:v>
                </c:pt>
                <c:pt idx="61">
                  <c:v>43494</c:v>
                </c:pt>
                <c:pt idx="62">
                  <c:v>43495</c:v>
                </c:pt>
                <c:pt idx="63">
                  <c:v>43496</c:v>
                </c:pt>
                <c:pt idx="64">
                  <c:v>43497</c:v>
                </c:pt>
                <c:pt idx="65">
                  <c:v>43500</c:v>
                </c:pt>
                <c:pt idx="66">
                  <c:v>43501</c:v>
                </c:pt>
                <c:pt idx="67">
                  <c:v>43502</c:v>
                </c:pt>
                <c:pt idx="68">
                  <c:v>43503</c:v>
                </c:pt>
                <c:pt idx="69">
                  <c:v>43504</c:v>
                </c:pt>
                <c:pt idx="70">
                  <c:v>43507</c:v>
                </c:pt>
                <c:pt idx="71">
                  <c:v>43508</c:v>
                </c:pt>
                <c:pt idx="72">
                  <c:v>43509</c:v>
                </c:pt>
                <c:pt idx="73">
                  <c:v>43510</c:v>
                </c:pt>
                <c:pt idx="74">
                  <c:v>43511</c:v>
                </c:pt>
                <c:pt idx="75">
                  <c:v>43514</c:v>
                </c:pt>
                <c:pt idx="76">
                  <c:v>43515</c:v>
                </c:pt>
                <c:pt idx="77">
                  <c:v>43516</c:v>
                </c:pt>
                <c:pt idx="78">
                  <c:v>43517</c:v>
                </c:pt>
                <c:pt idx="79">
                  <c:v>43518</c:v>
                </c:pt>
                <c:pt idx="80">
                  <c:v>43521</c:v>
                </c:pt>
                <c:pt idx="81">
                  <c:v>43522</c:v>
                </c:pt>
                <c:pt idx="82">
                  <c:v>43523</c:v>
                </c:pt>
                <c:pt idx="83">
                  <c:v>43524</c:v>
                </c:pt>
                <c:pt idx="84">
                  <c:v>43525</c:v>
                </c:pt>
                <c:pt idx="85">
                  <c:v>43528</c:v>
                </c:pt>
                <c:pt idx="86">
                  <c:v>43529</c:v>
                </c:pt>
                <c:pt idx="87">
                  <c:v>43530</c:v>
                </c:pt>
                <c:pt idx="88">
                  <c:v>43531</c:v>
                </c:pt>
                <c:pt idx="89">
                  <c:v>43532</c:v>
                </c:pt>
                <c:pt idx="90">
                  <c:v>43535</c:v>
                </c:pt>
                <c:pt idx="91">
                  <c:v>43536</c:v>
                </c:pt>
                <c:pt idx="92">
                  <c:v>43537</c:v>
                </c:pt>
                <c:pt idx="93">
                  <c:v>43538</c:v>
                </c:pt>
                <c:pt idx="94">
                  <c:v>43539</c:v>
                </c:pt>
                <c:pt idx="95">
                  <c:v>43542</c:v>
                </c:pt>
                <c:pt idx="96">
                  <c:v>43543</c:v>
                </c:pt>
                <c:pt idx="97">
                  <c:v>43544</c:v>
                </c:pt>
                <c:pt idx="98">
                  <c:v>43545</c:v>
                </c:pt>
                <c:pt idx="99">
                  <c:v>43546</c:v>
                </c:pt>
                <c:pt idx="100">
                  <c:v>43549</c:v>
                </c:pt>
                <c:pt idx="101">
                  <c:v>43550</c:v>
                </c:pt>
                <c:pt idx="102">
                  <c:v>43551</c:v>
                </c:pt>
                <c:pt idx="103">
                  <c:v>43552</c:v>
                </c:pt>
                <c:pt idx="104">
                  <c:v>43553</c:v>
                </c:pt>
                <c:pt idx="105">
                  <c:v>43556</c:v>
                </c:pt>
                <c:pt idx="106">
                  <c:v>43557</c:v>
                </c:pt>
                <c:pt idx="107">
                  <c:v>43558</c:v>
                </c:pt>
                <c:pt idx="108">
                  <c:v>43559</c:v>
                </c:pt>
                <c:pt idx="109">
                  <c:v>43560</c:v>
                </c:pt>
                <c:pt idx="110">
                  <c:v>43563</c:v>
                </c:pt>
                <c:pt idx="111">
                  <c:v>43564</c:v>
                </c:pt>
                <c:pt idx="112">
                  <c:v>43565</c:v>
                </c:pt>
                <c:pt idx="113">
                  <c:v>43566</c:v>
                </c:pt>
                <c:pt idx="114">
                  <c:v>43567</c:v>
                </c:pt>
                <c:pt idx="115">
                  <c:v>43570</c:v>
                </c:pt>
                <c:pt idx="116">
                  <c:v>43571</c:v>
                </c:pt>
                <c:pt idx="117">
                  <c:v>43572</c:v>
                </c:pt>
                <c:pt idx="118">
                  <c:v>43573</c:v>
                </c:pt>
                <c:pt idx="119">
                  <c:v>43578</c:v>
                </c:pt>
                <c:pt idx="120">
                  <c:v>43579</c:v>
                </c:pt>
                <c:pt idx="121">
                  <c:v>43580</c:v>
                </c:pt>
                <c:pt idx="122">
                  <c:v>43581</c:v>
                </c:pt>
                <c:pt idx="123">
                  <c:v>43584</c:v>
                </c:pt>
                <c:pt idx="124">
                  <c:v>43585</c:v>
                </c:pt>
                <c:pt idx="125">
                  <c:v>43587</c:v>
                </c:pt>
                <c:pt idx="126">
                  <c:v>43588</c:v>
                </c:pt>
                <c:pt idx="127">
                  <c:v>43591</c:v>
                </c:pt>
                <c:pt idx="128">
                  <c:v>43592</c:v>
                </c:pt>
                <c:pt idx="129">
                  <c:v>43593</c:v>
                </c:pt>
                <c:pt idx="130">
                  <c:v>43594</c:v>
                </c:pt>
                <c:pt idx="131">
                  <c:v>43595</c:v>
                </c:pt>
                <c:pt idx="132">
                  <c:v>43598</c:v>
                </c:pt>
                <c:pt idx="133">
                  <c:v>43599</c:v>
                </c:pt>
                <c:pt idx="134">
                  <c:v>43600</c:v>
                </c:pt>
                <c:pt idx="135">
                  <c:v>43601</c:v>
                </c:pt>
                <c:pt idx="136">
                  <c:v>43602</c:v>
                </c:pt>
                <c:pt idx="137">
                  <c:v>43605</c:v>
                </c:pt>
                <c:pt idx="138">
                  <c:v>43606</c:v>
                </c:pt>
                <c:pt idx="139">
                  <c:v>43607</c:v>
                </c:pt>
                <c:pt idx="140">
                  <c:v>43608</c:v>
                </c:pt>
                <c:pt idx="141">
                  <c:v>43609</c:v>
                </c:pt>
                <c:pt idx="142">
                  <c:v>43612</c:v>
                </c:pt>
                <c:pt idx="143">
                  <c:v>43613</c:v>
                </c:pt>
                <c:pt idx="144">
                  <c:v>43614</c:v>
                </c:pt>
                <c:pt idx="145">
                  <c:v>43615</c:v>
                </c:pt>
                <c:pt idx="146">
                  <c:v>43616</c:v>
                </c:pt>
                <c:pt idx="147">
                  <c:v>43619</c:v>
                </c:pt>
                <c:pt idx="148">
                  <c:v>43620</c:v>
                </c:pt>
                <c:pt idx="149">
                  <c:v>43621</c:v>
                </c:pt>
                <c:pt idx="150">
                  <c:v>43622</c:v>
                </c:pt>
                <c:pt idx="151">
                  <c:v>43623</c:v>
                </c:pt>
                <c:pt idx="152">
                  <c:v>43626</c:v>
                </c:pt>
                <c:pt idx="153">
                  <c:v>43627</c:v>
                </c:pt>
                <c:pt idx="154">
                  <c:v>43628</c:v>
                </c:pt>
                <c:pt idx="155">
                  <c:v>43629</c:v>
                </c:pt>
                <c:pt idx="156">
                  <c:v>43630</c:v>
                </c:pt>
                <c:pt idx="157">
                  <c:v>43633</c:v>
                </c:pt>
                <c:pt idx="158">
                  <c:v>43634</c:v>
                </c:pt>
                <c:pt idx="159">
                  <c:v>43635</c:v>
                </c:pt>
                <c:pt idx="160">
                  <c:v>43636</c:v>
                </c:pt>
                <c:pt idx="161">
                  <c:v>43637</c:v>
                </c:pt>
                <c:pt idx="162">
                  <c:v>43640</c:v>
                </c:pt>
                <c:pt idx="163">
                  <c:v>43641</c:v>
                </c:pt>
                <c:pt idx="164">
                  <c:v>43642</c:v>
                </c:pt>
                <c:pt idx="165">
                  <c:v>43643</c:v>
                </c:pt>
                <c:pt idx="166">
                  <c:v>43644</c:v>
                </c:pt>
                <c:pt idx="167">
                  <c:v>43647</c:v>
                </c:pt>
                <c:pt idx="168">
                  <c:v>43648</c:v>
                </c:pt>
                <c:pt idx="169">
                  <c:v>43649</c:v>
                </c:pt>
                <c:pt idx="170">
                  <c:v>43650</c:v>
                </c:pt>
                <c:pt idx="171">
                  <c:v>43651</c:v>
                </c:pt>
                <c:pt idx="172">
                  <c:v>43654</c:v>
                </c:pt>
                <c:pt idx="173">
                  <c:v>43655</c:v>
                </c:pt>
                <c:pt idx="174">
                  <c:v>43656</c:v>
                </c:pt>
                <c:pt idx="175">
                  <c:v>43657</c:v>
                </c:pt>
                <c:pt idx="176">
                  <c:v>43658</c:v>
                </c:pt>
                <c:pt idx="177">
                  <c:v>43661</c:v>
                </c:pt>
                <c:pt idx="178">
                  <c:v>43662</c:v>
                </c:pt>
                <c:pt idx="179">
                  <c:v>43663</c:v>
                </c:pt>
                <c:pt idx="180">
                  <c:v>43664</c:v>
                </c:pt>
                <c:pt idx="181">
                  <c:v>43665</c:v>
                </c:pt>
                <c:pt idx="182">
                  <c:v>43668</c:v>
                </c:pt>
                <c:pt idx="183">
                  <c:v>43669</c:v>
                </c:pt>
                <c:pt idx="184">
                  <c:v>43670</c:v>
                </c:pt>
                <c:pt idx="185">
                  <c:v>43671</c:v>
                </c:pt>
                <c:pt idx="186">
                  <c:v>43672</c:v>
                </c:pt>
                <c:pt idx="187">
                  <c:v>43675</c:v>
                </c:pt>
                <c:pt idx="188">
                  <c:v>43676</c:v>
                </c:pt>
                <c:pt idx="189">
                  <c:v>43677</c:v>
                </c:pt>
                <c:pt idx="190">
                  <c:v>43678</c:v>
                </c:pt>
                <c:pt idx="191">
                  <c:v>43679</c:v>
                </c:pt>
                <c:pt idx="192">
                  <c:v>43682</c:v>
                </c:pt>
                <c:pt idx="193">
                  <c:v>43683</c:v>
                </c:pt>
                <c:pt idx="194">
                  <c:v>43684</c:v>
                </c:pt>
                <c:pt idx="195">
                  <c:v>43685</c:v>
                </c:pt>
                <c:pt idx="196">
                  <c:v>43686</c:v>
                </c:pt>
                <c:pt idx="197">
                  <c:v>43689</c:v>
                </c:pt>
                <c:pt idx="198">
                  <c:v>43690</c:v>
                </c:pt>
                <c:pt idx="199">
                  <c:v>43691</c:v>
                </c:pt>
                <c:pt idx="200">
                  <c:v>43692</c:v>
                </c:pt>
                <c:pt idx="201">
                  <c:v>43693</c:v>
                </c:pt>
                <c:pt idx="202">
                  <c:v>43696</c:v>
                </c:pt>
                <c:pt idx="203">
                  <c:v>43697</c:v>
                </c:pt>
                <c:pt idx="204">
                  <c:v>43698</c:v>
                </c:pt>
                <c:pt idx="205">
                  <c:v>43699</c:v>
                </c:pt>
                <c:pt idx="206">
                  <c:v>43700</c:v>
                </c:pt>
                <c:pt idx="207">
                  <c:v>43703</c:v>
                </c:pt>
                <c:pt idx="208">
                  <c:v>43704</c:v>
                </c:pt>
                <c:pt idx="209">
                  <c:v>43705</c:v>
                </c:pt>
                <c:pt idx="210">
                  <c:v>43706</c:v>
                </c:pt>
                <c:pt idx="211">
                  <c:v>43707</c:v>
                </c:pt>
                <c:pt idx="212">
                  <c:v>43710</c:v>
                </c:pt>
                <c:pt idx="213">
                  <c:v>43711</c:v>
                </c:pt>
                <c:pt idx="214">
                  <c:v>43712</c:v>
                </c:pt>
                <c:pt idx="215">
                  <c:v>43713</c:v>
                </c:pt>
                <c:pt idx="216">
                  <c:v>43714</c:v>
                </c:pt>
                <c:pt idx="217">
                  <c:v>43717</c:v>
                </c:pt>
                <c:pt idx="218">
                  <c:v>43718</c:v>
                </c:pt>
                <c:pt idx="219">
                  <c:v>43719</c:v>
                </c:pt>
                <c:pt idx="220">
                  <c:v>43720</c:v>
                </c:pt>
                <c:pt idx="221">
                  <c:v>43721</c:v>
                </c:pt>
                <c:pt idx="222">
                  <c:v>43724</c:v>
                </c:pt>
                <c:pt idx="223">
                  <c:v>43725</c:v>
                </c:pt>
                <c:pt idx="224">
                  <c:v>43726</c:v>
                </c:pt>
                <c:pt idx="225">
                  <c:v>43727</c:v>
                </c:pt>
                <c:pt idx="226">
                  <c:v>43728</c:v>
                </c:pt>
                <c:pt idx="227">
                  <c:v>43731</c:v>
                </c:pt>
                <c:pt idx="228">
                  <c:v>43732</c:v>
                </c:pt>
                <c:pt idx="229">
                  <c:v>43733</c:v>
                </c:pt>
                <c:pt idx="230">
                  <c:v>43734</c:v>
                </c:pt>
                <c:pt idx="231">
                  <c:v>43735</c:v>
                </c:pt>
                <c:pt idx="232">
                  <c:v>43738</c:v>
                </c:pt>
                <c:pt idx="233">
                  <c:v>43739</c:v>
                </c:pt>
                <c:pt idx="234">
                  <c:v>43740</c:v>
                </c:pt>
                <c:pt idx="235">
                  <c:v>43741</c:v>
                </c:pt>
                <c:pt idx="236">
                  <c:v>43742</c:v>
                </c:pt>
                <c:pt idx="237">
                  <c:v>43745</c:v>
                </c:pt>
                <c:pt idx="238">
                  <c:v>43746</c:v>
                </c:pt>
                <c:pt idx="239">
                  <c:v>43747</c:v>
                </c:pt>
                <c:pt idx="240">
                  <c:v>43748</c:v>
                </c:pt>
                <c:pt idx="241">
                  <c:v>43749</c:v>
                </c:pt>
                <c:pt idx="242">
                  <c:v>43752</c:v>
                </c:pt>
                <c:pt idx="243">
                  <c:v>43753</c:v>
                </c:pt>
                <c:pt idx="244">
                  <c:v>43754</c:v>
                </c:pt>
                <c:pt idx="245">
                  <c:v>43755</c:v>
                </c:pt>
                <c:pt idx="246">
                  <c:v>43756</c:v>
                </c:pt>
                <c:pt idx="247">
                  <c:v>43759</c:v>
                </c:pt>
                <c:pt idx="248">
                  <c:v>43760</c:v>
                </c:pt>
                <c:pt idx="249">
                  <c:v>43761</c:v>
                </c:pt>
                <c:pt idx="250">
                  <c:v>43762</c:v>
                </c:pt>
                <c:pt idx="251">
                  <c:v>43763</c:v>
                </c:pt>
                <c:pt idx="252">
                  <c:v>43766</c:v>
                </c:pt>
                <c:pt idx="253">
                  <c:v>43767</c:v>
                </c:pt>
                <c:pt idx="254">
                  <c:v>43768</c:v>
                </c:pt>
                <c:pt idx="255">
                  <c:v>43769</c:v>
                </c:pt>
              </c:numCache>
            </c:numRef>
          </c:cat>
          <c:val>
            <c:numRef>
              <c:f>'ΣΤΟΙΧΕΙΑ ΓΙΑ ΠΡΟΥΠ 2018'!$H$3:$H$1535</c:f>
              <c:numCache>
                <c:formatCode>General</c:formatCode>
                <c:ptCount val="256"/>
                <c:pt idx="0">
                  <c:v>1.542</c:v>
                </c:pt>
                <c:pt idx="1">
                  <c:v>1.5629999999999955</c:v>
                </c:pt>
                <c:pt idx="2">
                  <c:v>1.5669999999999955</c:v>
                </c:pt>
                <c:pt idx="3">
                  <c:v>1.5620000000000001</c:v>
                </c:pt>
                <c:pt idx="4">
                  <c:v>1.579</c:v>
                </c:pt>
                <c:pt idx="5">
                  <c:v>1.5980000000000001</c:v>
                </c:pt>
                <c:pt idx="6">
                  <c:v>1.603</c:v>
                </c:pt>
                <c:pt idx="7">
                  <c:v>1.593</c:v>
                </c:pt>
                <c:pt idx="8">
                  <c:v>1.595</c:v>
                </c:pt>
                <c:pt idx="9">
                  <c:v>1.6</c:v>
                </c:pt>
                <c:pt idx="10">
                  <c:v>1.615</c:v>
                </c:pt>
                <c:pt idx="11">
                  <c:v>1.625</c:v>
                </c:pt>
                <c:pt idx="12">
                  <c:v>1.631</c:v>
                </c:pt>
                <c:pt idx="13">
                  <c:v>1.645999999999995</c:v>
                </c:pt>
                <c:pt idx="14">
                  <c:v>1.641999999999995</c:v>
                </c:pt>
                <c:pt idx="15">
                  <c:v>1.6300000000000001</c:v>
                </c:pt>
                <c:pt idx="16">
                  <c:v>1.633</c:v>
                </c:pt>
                <c:pt idx="17">
                  <c:v>1.627999999999995</c:v>
                </c:pt>
                <c:pt idx="18">
                  <c:v>1.5569999999999955</c:v>
                </c:pt>
                <c:pt idx="19">
                  <c:v>1.548</c:v>
                </c:pt>
                <c:pt idx="20">
                  <c:v>1.536</c:v>
                </c:pt>
                <c:pt idx="21">
                  <c:v>1.502</c:v>
                </c:pt>
                <c:pt idx="22">
                  <c:v>1.4969999999999952</c:v>
                </c:pt>
                <c:pt idx="23">
                  <c:v>1.488</c:v>
                </c:pt>
                <c:pt idx="24">
                  <c:v>1.4809999999999948</c:v>
                </c:pt>
                <c:pt idx="25">
                  <c:v>1.454</c:v>
                </c:pt>
                <c:pt idx="26">
                  <c:v>1.4549999999999947</c:v>
                </c:pt>
                <c:pt idx="27">
                  <c:v>1.4449999999999947</c:v>
                </c:pt>
                <c:pt idx="28">
                  <c:v>1.4379999999999911</c:v>
                </c:pt>
                <c:pt idx="29">
                  <c:v>1.4319999999999911</c:v>
                </c:pt>
                <c:pt idx="30">
                  <c:v>1.4239999999999911</c:v>
                </c:pt>
                <c:pt idx="31">
                  <c:v>1.4169999999999936</c:v>
                </c:pt>
                <c:pt idx="32">
                  <c:v>1.4079999999999901</c:v>
                </c:pt>
                <c:pt idx="33">
                  <c:v>1.395</c:v>
                </c:pt>
                <c:pt idx="34">
                  <c:v>1.3720000000000001</c:v>
                </c:pt>
                <c:pt idx="35">
                  <c:v>1.3720000000000001</c:v>
                </c:pt>
                <c:pt idx="36">
                  <c:v>1.367</c:v>
                </c:pt>
                <c:pt idx="37">
                  <c:v>1.391999999999995</c:v>
                </c:pt>
                <c:pt idx="38">
                  <c:v>1.391999999999995</c:v>
                </c:pt>
                <c:pt idx="39">
                  <c:v>1.377999999999995</c:v>
                </c:pt>
                <c:pt idx="40">
                  <c:v>1.4089999999999936</c:v>
                </c:pt>
                <c:pt idx="41">
                  <c:v>1.4089999999999936</c:v>
                </c:pt>
                <c:pt idx="42">
                  <c:v>1.397</c:v>
                </c:pt>
                <c:pt idx="43">
                  <c:v>1.4229999999999936</c:v>
                </c:pt>
                <c:pt idx="44">
                  <c:v>1.47</c:v>
                </c:pt>
                <c:pt idx="45">
                  <c:v>1.4949999999999952</c:v>
                </c:pt>
                <c:pt idx="46">
                  <c:v>1.508</c:v>
                </c:pt>
                <c:pt idx="47">
                  <c:v>1.4869999999999948</c:v>
                </c:pt>
                <c:pt idx="48">
                  <c:v>1.446</c:v>
                </c:pt>
                <c:pt idx="49">
                  <c:v>1.4389999999999936</c:v>
                </c:pt>
                <c:pt idx="50">
                  <c:v>1.4119999999999904</c:v>
                </c:pt>
                <c:pt idx="51">
                  <c:v>1.385</c:v>
                </c:pt>
                <c:pt idx="52">
                  <c:v>1.37</c:v>
                </c:pt>
                <c:pt idx="53">
                  <c:v>1.359</c:v>
                </c:pt>
                <c:pt idx="54">
                  <c:v>1.3420000000000001</c:v>
                </c:pt>
                <c:pt idx="55">
                  <c:v>1.361</c:v>
                </c:pt>
                <c:pt idx="56">
                  <c:v>1.33</c:v>
                </c:pt>
                <c:pt idx="57">
                  <c:v>1.3080000000000001</c:v>
                </c:pt>
                <c:pt idx="58">
                  <c:v>1.2349999999999948</c:v>
                </c:pt>
                <c:pt idx="59">
                  <c:v>1.2249999999999948</c:v>
                </c:pt>
                <c:pt idx="60">
                  <c:v>1.2149999999999948</c:v>
                </c:pt>
                <c:pt idx="61">
                  <c:v>1.2329999999999948</c:v>
                </c:pt>
                <c:pt idx="62">
                  <c:v>1.25</c:v>
                </c:pt>
                <c:pt idx="63">
                  <c:v>1.1919999999999955</c:v>
                </c:pt>
                <c:pt idx="64">
                  <c:v>1.218</c:v>
                </c:pt>
                <c:pt idx="65">
                  <c:v>1.24</c:v>
                </c:pt>
                <c:pt idx="66">
                  <c:v>1.250999999999995</c:v>
                </c:pt>
                <c:pt idx="67">
                  <c:v>1.252999999999995</c:v>
                </c:pt>
                <c:pt idx="68">
                  <c:v>1.236</c:v>
                </c:pt>
                <c:pt idx="69">
                  <c:v>1.228</c:v>
                </c:pt>
                <c:pt idx="70">
                  <c:v>1.2349999999999948</c:v>
                </c:pt>
                <c:pt idx="71">
                  <c:v>1.234</c:v>
                </c:pt>
                <c:pt idx="72">
                  <c:v>1.2289999999999948</c:v>
                </c:pt>
                <c:pt idx="73">
                  <c:v>1.2349999999999948</c:v>
                </c:pt>
                <c:pt idx="74">
                  <c:v>1.2309999999999948</c:v>
                </c:pt>
                <c:pt idx="75">
                  <c:v>1.222</c:v>
                </c:pt>
                <c:pt idx="76">
                  <c:v>1.2029999999999947</c:v>
                </c:pt>
                <c:pt idx="77">
                  <c:v>1.1950000000000001</c:v>
                </c:pt>
                <c:pt idx="78">
                  <c:v>1.1970000000000001</c:v>
                </c:pt>
                <c:pt idx="79">
                  <c:v>1.169</c:v>
                </c:pt>
                <c:pt idx="80">
                  <c:v>1.155</c:v>
                </c:pt>
                <c:pt idx="81">
                  <c:v>1.133</c:v>
                </c:pt>
                <c:pt idx="82">
                  <c:v>1.155</c:v>
                </c:pt>
                <c:pt idx="83">
                  <c:v>1.1679999999999955</c:v>
                </c:pt>
                <c:pt idx="84">
                  <c:v>1.1919999999999955</c:v>
                </c:pt>
                <c:pt idx="85">
                  <c:v>1.1659999999999953</c:v>
                </c:pt>
                <c:pt idx="86">
                  <c:v>1.147999999999995</c:v>
                </c:pt>
                <c:pt idx="87">
                  <c:v>1.1060000000000001</c:v>
                </c:pt>
                <c:pt idx="88">
                  <c:v>1.036</c:v>
                </c:pt>
                <c:pt idx="89">
                  <c:v>1.044</c:v>
                </c:pt>
                <c:pt idx="90">
                  <c:v>1.147</c:v>
                </c:pt>
                <c:pt idx="91">
                  <c:v>1.163</c:v>
                </c:pt>
                <c:pt idx="92">
                  <c:v>1.1819999999999955</c:v>
                </c:pt>
                <c:pt idx="93">
                  <c:v>1.1839999999999955</c:v>
                </c:pt>
                <c:pt idx="94">
                  <c:v>1.1800000000000044</c:v>
                </c:pt>
                <c:pt idx="95">
                  <c:v>1.149</c:v>
                </c:pt>
                <c:pt idx="96">
                  <c:v>1.165</c:v>
                </c:pt>
                <c:pt idx="97">
                  <c:v>1.159</c:v>
                </c:pt>
                <c:pt idx="98">
                  <c:v>1.0940000000000001</c:v>
                </c:pt>
                <c:pt idx="99">
                  <c:v>1.0640000000000001</c:v>
                </c:pt>
                <c:pt idx="100">
                  <c:v>1.0960000000000001</c:v>
                </c:pt>
                <c:pt idx="101">
                  <c:v>1.0860000000000001</c:v>
                </c:pt>
                <c:pt idx="102">
                  <c:v>1.0489999999999955</c:v>
                </c:pt>
                <c:pt idx="103">
                  <c:v>1.083</c:v>
                </c:pt>
                <c:pt idx="104">
                  <c:v>1.089</c:v>
                </c:pt>
                <c:pt idx="105">
                  <c:v>1.133999999999995</c:v>
                </c:pt>
                <c:pt idx="106">
                  <c:v>1.109</c:v>
                </c:pt>
                <c:pt idx="107">
                  <c:v>1.131999999999995</c:v>
                </c:pt>
                <c:pt idx="108">
                  <c:v>1.103</c:v>
                </c:pt>
                <c:pt idx="109">
                  <c:v>1.0980000000000001</c:v>
                </c:pt>
                <c:pt idx="110">
                  <c:v>1.08</c:v>
                </c:pt>
                <c:pt idx="111">
                  <c:v>1.0680000000000001</c:v>
                </c:pt>
                <c:pt idx="112">
                  <c:v>1.036999999999995</c:v>
                </c:pt>
                <c:pt idx="113">
                  <c:v>0.998</c:v>
                </c:pt>
                <c:pt idx="114">
                  <c:v>1.0449999999999955</c:v>
                </c:pt>
                <c:pt idx="115">
                  <c:v>1.0760000000000001</c:v>
                </c:pt>
                <c:pt idx="116">
                  <c:v>1.079</c:v>
                </c:pt>
                <c:pt idx="117">
                  <c:v>1.0980000000000001</c:v>
                </c:pt>
                <c:pt idx="118">
                  <c:v>1.0589999999999955</c:v>
                </c:pt>
                <c:pt idx="119">
                  <c:v>1.111</c:v>
                </c:pt>
                <c:pt idx="120">
                  <c:v>1.0669999999999955</c:v>
                </c:pt>
                <c:pt idx="121">
                  <c:v>1.085</c:v>
                </c:pt>
                <c:pt idx="122">
                  <c:v>1.018999999999995</c:v>
                </c:pt>
                <c:pt idx="123">
                  <c:v>1.006999999999995</c:v>
                </c:pt>
                <c:pt idx="124">
                  <c:v>0.996</c:v>
                </c:pt>
                <c:pt idx="125">
                  <c:v>0.99099999999999999</c:v>
                </c:pt>
                <c:pt idx="126">
                  <c:v>0.97900000000000065</c:v>
                </c:pt>
                <c:pt idx="127">
                  <c:v>0.97600000000000064</c:v>
                </c:pt>
                <c:pt idx="128">
                  <c:v>0.95900000000000063</c:v>
                </c:pt>
                <c:pt idx="129">
                  <c:v>0.95400000000000063</c:v>
                </c:pt>
                <c:pt idx="130">
                  <c:v>0.98299999999999998</c:v>
                </c:pt>
                <c:pt idx="131">
                  <c:v>0.97300000000000064</c:v>
                </c:pt>
                <c:pt idx="132">
                  <c:v>0.98599999999999999</c:v>
                </c:pt>
                <c:pt idx="133">
                  <c:v>0.96600000000000064</c:v>
                </c:pt>
                <c:pt idx="134">
                  <c:v>0.94899999999999995</c:v>
                </c:pt>
                <c:pt idx="135">
                  <c:v>0.9</c:v>
                </c:pt>
                <c:pt idx="136">
                  <c:v>0.86900000000000222</c:v>
                </c:pt>
                <c:pt idx="137">
                  <c:v>0.87900000000000245</c:v>
                </c:pt>
                <c:pt idx="138">
                  <c:v>0.86800000000000221</c:v>
                </c:pt>
                <c:pt idx="139">
                  <c:v>0.86300000000000165</c:v>
                </c:pt>
                <c:pt idx="140">
                  <c:v>0.84600000000000064</c:v>
                </c:pt>
                <c:pt idx="141">
                  <c:v>0.81799999999999995</c:v>
                </c:pt>
                <c:pt idx="142">
                  <c:v>0.79800000000000004</c:v>
                </c:pt>
                <c:pt idx="143">
                  <c:v>0.78200000000000003</c:v>
                </c:pt>
                <c:pt idx="144">
                  <c:v>0.72800000000000065</c:v>
                </c:pt>
                <c:pt idx="145">
                  <c:v>0.75500000000000245</c:v>
                </c:pt>
                <c:pt idx="146">
                  <c:v>0.71000000000000063</c:v>
                </c:pt>
                <c:pt idx="147">
                  <c:v>0.68700000000000061</c:v>
                </c:pt>
                <c:pt idx="148">
                  <c:v>0.65900000000000292</c:v>
                </c:pt>
                <c:pt idx="149">
                  <c:v>0.62500000000000233</c:v>
                </c:pt>
                <c:pt idx="150">
                  <c:v>0.60300000000000065</c:v>
                </c:pt>
                <c:pt idx="151">
                  <c:v>0.54700000000000004</c:v>
                </c:pt>
                <c:pt idx="152">
                  <c:v>0.59899999999999998</c:v>
                </c:pt>
                <c:pt idx="153">
                  <c:v>0.57299999999999995</c:v>
                </c:pt>
                <c:pt idx="154">
                  <c:v>0.56799999999999995</c:v>
                </c:pt>
                <c:pt idx="155">
                  <c:v>0.53700000000000003</c:v>
                </c:pt>
                <c:pt idx="156">
                  <c:v>0.49600000000000088</c:v>
                </c:pt>
                <c:pt idx="157">
                  <c:v>0.52100000000000002</c:v>
                </c:pt>
                <c:pt idx="158">
                  <c:v>0.38700000000000123</c:v>
                </c:pt>
                <c:pt idx="159">
                  <c:v>0.39800000000000146</c:v>
                </c:pt>
                <c:pt idx="160">
                  <c:v>0.38600000000000123</c:v>
                </c:pt>
                <c:pt idx="161">
                  <c:v>0.42900000000000038</c:v>
                </c:pt>
                <c:pt idx="162">
                  <c:v>0.40300000000000002</c:v>
                </c:pt>
                <c:pt idx="163">
                  <c:v>0.37400000000000111</c:v>
                </c:pt>
                <c:pt idx="164">
                  <c:v>0.38700000000000123</c:v>
                </c:pt>
                <c:pt idx="165">
                  <c:v>0.38800000000000123</c:v>
                </c:pt>
                <c:pt idx="166">
                  <c:v>0.39000000000000123</c:v>
                </c:pt>
                <c:pt idx="167">
                  <c:v>0.33100000000000146</c:v>
                </c:pt>
                <c:pt idx="168">
                  <c:v>0.28700000000000031</c:v>
                </c:pt>
                <c:pt idx="169">
                  <c:v>0.20700000000000021</c:v>
                </c:pt>
                <c:pt idx="170">
                  <c:v>0.24200000000000021</c:v>
                </c:pt>
                <c:pt idx="171">
                  <c:v>0.31800000000000123</c:v>
                </c:pt>
                <c:pt idx="172">
                  <c:v>0.42900000000000038</c:v>
                </c:pt>
                <c:pt idx="173">
                  <c:v>0.41300000000000031</c:v>
                </c:pt>
                <c:pt idx="174">
                  <c:v>0.43200000000000038</c:v>
                </c:pt>
                <c:pt idx="175">
                  <c:v>0.46800000000000008</c:v>
                </c:pt>
                <c:pt idx="176">
                  <c:v>0.55700000000000005</c:v>
                </c:pt>
                <c:pt idx="177">
                  <c:v>0.49900000000000111</c:v>
                </c:pt>
                <c:pt idx="178">
                  <c:v>0.48300000000000032</c:v>
                </c:pt>
                <c:pt idx="179">
                  <c:v>0.44</c:v>
                </c:pt>
                <c:pt idx="180">
                  <c:v>0.39600000000000146</c:v>
                </c:pt>
                <c:pt idx="181">
                  <c:v>0.37600000000000111</c:v>
                </c:pt>
                <c:pt idx="182">
                  <c:v>0.38400000000000123</c:v>
                </c:pt>
                <c:pt idx="183">
                  <c:v>0.38700000000000123</c:v>
                </c:pt>
                <c:pt idx="184">
                  <c:v>0.33500000000000146</c:v>
                </c:pt>
                <c:pt idx="185">
                  <c:v>0.34800000000000031</c:v>
                </c:pt>
                <c:pt idx="186">
                  <c:v>0.36500000000000032</c:v>
                </c:pt>
                <c:pt idx="187">
                  <c:v>0.35000000000000031</c:v>
                </c:pt>
                <c:pt idx="188">
                  <c:v>0.34500000000000008</c:v>
                </c:pt>
                <c:pt idx="189">
                  <c:v>0.27700000000000002</c:v>
                </c:pt>
                <c:pt idx="190">
                  <c:v>0.28500000000000031</c:v>
                </c:pt>
                <c:pt idx="191">
                  <c:v>0.23800000000000004</c:v>
                </c:pt>
                <c:pt idx="192">
                  <c:v>0.24000000000000021</c:v>
                </c:pt>
                <c:pt idx="193">
                  <c:v>0.224</c:v>
                </c:pt>
                <c:pt idx="194">
                  <c:v>0.16400000000000001</c:v>
                </c:pt>
                <c:pt idx="195">
                  <c:v>0.21700000000000041</c:v>
                </c:pt>
                <c:pt idx="196">
                  <c:v>0.253</c:v>
                </c:pt>
                <c:pt idx="197">
                  <c:v>0.222</c:v>
                </c:pt>
                <c:pt idx="198">
                  <c:v>0.20300000000000001</c:v>
                </c:pt>
                <c:pt idx="199">
                  <c:v>0.13600000000000001</c:v>
                </c:pt>
                <c:pt idx="200">
                  <c:v>2.8000000000000001E-2</c:v>
                </c:pt>
                <c:pt idx="201">
                  <c:v>7.0000000000000021E-2</c:v>
                </c:pt>
                <c:pt idx="202">
                  <c:v>0.126</c:v>
                </c:pt>
                <c:pt idx="203">
                  <c:v>8.9000000000000065E-2</c:v>
                </c:pt>
                <c:pt idx="204">
                  <c:v>9.0000000000000024E-2</c:v>
                </c:pt>
                <c:pt idx="205">
                  <c:v>0.13300000000000001</c:v>
                </c:pt>
                <c:pt idx="206">
                  <c:v>0.13100000000000001</c:v>
                </c:pt>
                <c:pt idx="207">
                  <c:v>0.12000000000000002</c:v>
                </c:pt>
                <c:pt idx="208">
                  <c:v>7.3999999999999996E-2</c:v>
                </c:pt>
                <c:pt idx="209">
                  <c:v>5.5000000000000014E-2</c:v>
                </c:pt>
                <c:pt idx="210">
                  <c:v>9.5000000000000043E-2</c:v>
                </c:pt>
                <c:pt idx="211">
                  <c:v>9.5000000000000043E-2</c:v>
                </c:pt>
                <c:pt idx="212">
                  <c:v>0.11899999999999998</c:v>
                </c:pt>
                <c:pt idx="213">
                  <c:v>0.10100000000000002</c:v>
                </c:pt>
                <c:pt idx="214">
                  <c:v>0.14100000000000001</c:v>
                </c:pt>
                <c:pt idx="215">
                  <c:v>0.22500000000000001</c:v>
                </c:pt>
                <c:pt idx="216">
                  <c:v>0.16600000000000001</c:v>
                </c:pt>
                <c:pt idx="217">
                  <c:v>0.21300000000000024</c:v>
                </c:pt>
                <c:pt idx="218">
                  <c:v>0.252</c:v>
                </c:pt>
                <c:pt idx="219">
                  <c:v>0.24700000000000041</c:v>
                </c:pt>
                <c:pt idx="220">
                  <c:v>0.21600000000000041</c:v>
                </c:pt>
                <c:pt idx="221">
                  <c:v>0.29300000000000032</c:v>
                </c:pt>
                <c:pt idx="222">
                  <c:v>0.25</c:v>
                </c:pt>
                <c:pt idx="223">
                  <c:v>0.27800000000000002</c:v>
                </c:pt>
                <c:pt idx="224">
                  <c:v>0.221</c:v>
                </c:pt>
                <c:pt idx="225">
                  <c:v>0.24200000000000021</c:v>
                </c:pt>
                <c:pt idx="226">
                  <c:v>0.22800000000000001</c:v>
                </c:pt>
                <c:pt idx="227">
                  <c:v>0.14200000000000004</c:v>
                </c:pt>
                <c:pt idx="228">
                  <c:v>0.112</c:v>
                </c:pt>
                <c:pt idx="229">
                  <c:v>0.127</c:v>
                </c:pt>
                <c:pt idx="230">
                  <c:v>0.14300000000000004</c:v>
                </c:pt>
                <c:pt idx="231">
                  <c:v>0.14300000000000004</c:v>
                </c:pt>
                <c:pt idx="232">
                  <c:v>0.13900000000000001</c:v>
                </c:pt>
                <c:pt idx="233">
                  <c:v>0.14500000000000021</c:v>
                </c:pt>
                <c:pt idx="234">
                  <c:v>0.16300000000000001</c:v>
                </c:pt>
                <c:pt idx="235">
                  <c:v>0.126</c:v>
                </c:pt>
                <c:pt idx="236">
                  <c:v>0.125</c:v>
                </c:pt>
                <c:pt idx="237">
                  <c:v>0.13100000000000001</c:v>
                </c:pt>
                <c:pt idx="238">
                  <c:v>0.11700000000000002</c:v>
                </c:pt>
                <c:pt idx="239">
                  <c:v>0.14500000000000021</c:v>
                </c:pt>
                <c:pt idx="240">
                  <c:v>0.22</c:v>
                </c:pt>
                <c:pt idx="241">
                  <c:v>0.23</c:v>
                </c:pt>
                <c:pt idx="242">
                  <c:v>0.20600000000000004</c:v>
                </c:pt>
                <c:pt idx="243">
                  <c:v>0.221</c:v>
                </c:pt>
                <c:pt idx="244">
                  <c:v>0.24800000000000041</c:v>
                </c:pt>
                <c:pt idx="245">
                  <c:v>0.221</c:v>
                </c:pt>
                <c:pt idx="246">
                  <c:v>0.23400000000000001</c:v>
                </c:pt>
                <c:pt idx="247">
                  <c:v>0.27900000000000008</c:v>
                </c:pt>
                <c:pt idx="248">
                  <c:v>0.255</c:v>
                </c:pt>
                <c:pt idx="249">
                  <c:v>0.24400000000000024</c:v>
                </c:pt>
                <c:pt idx="250">
                  <c:v>0.22900000000000001</c:v>
                </c:pt>
                <c:pt idx="251">
                  <c:v>0.26600000000000001</c:v>
                </c:pt>
                <c:pt idx="252">
                  <c:v>0.30000000000000032</c:v>
                </c:pt>
                <c:pt idx="253">
                  <c:v>0.28100000000000008</c:v>
                </c:pt>
                <c:pt idx="254">
                  <c:v>0.27600000000000002</c:v>
                </c:pt>
                <c:pt idx="255">
                  <c:v>0.23100000000000001</c:v>
                </c:pt>
              </c:numCache>
            </c:numRef>
          </c:val>
        </c:ser>
        <c:marker val="1"/>
        <c:axId val="219500928"/>
        <c:axId val="219502464"/>
      </c:lineChart>
      <c:dateAx>
        <c:axId val="219500928"/>
        <c:scaling>
          <c:orientation val="minMax"/>
        </c:scaling>
        <c:axPos val="b"/>
        <c:numFmt formatCode="d/m/yyyy" sourceLinked="1"/>
        <c:majorTickMark val="none"/>
        <c:tickLblPos val="low"/>
        <c:txPr>
          <a:bodyPr rot="-5400000" vert="horz"/>
          <a:lstStyle/>
          <a:p>
            <a:pPr>
              <a:defRPr/>
            </a:pPr>
            <a:endParaRPr lang="el-GR"/>
          </a:p>
        </c:txPr>
        <c:crossAx val="219502464"/>
        <c:crosses val="autoZero"/>
        <c:auto val="1"/>
        <c:lblOffset val="100"/>
        <c:baseTimeUnit val="days"/>
        <c:majorUnit val="1"/>
        <c:majorTimeUnit val="months"/>
        <c:minorUnit val="1"/>
        <c:minorTimeUnit val="months"/>
      </c:dateAx>
      <c:valAx>
        <c:axId val="219502464"/>
        <c:scaling>
          <c:orientation val="minMax"/>
          <c:max val="6"/>
        </c:scaling>
        <c:axPos val="l"/>
        <c:majorGridlines/>
        <c:title>
          <c:tx>
            <c:rich>
              <a:bodyPr rot="-5400000" vert="horz"/>
              <a:lstStyle/>
              <a:p>
                <a:pPr>
                  <a:defRPr/>
                </a:pPr>
                <a:r>
                  <a:rPr lang="el-GR"/>
                  <a:t>Απόδοση (%)</a:t>
                </a:r>
              </a:p>
            </c:rich>
          </c:tx>
          <c:layout>
            <c:manualLayout>
              <c:xMode val="edge"/>
              <c:yMode val="edge"/>
              <c:x val="1.178681162039674E-2"/>
              <c:y val="0.47578011997592595"/>
            </c:manualLayout>
          </c:layout>
        </c:title>
        <c:numFmt formatCode="General" sourceLinked="1"/>
        <c:tickLblPos val="nextTo"/>
        <c:crossAx val="219500928"/>
        <c:crossesAt val="41931"/>
        <c:crossBetween val="between"/>
        <c:majorUnit val="1"/>
      </c:valAx>
      <c:spPr>
        <a:ln>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ysDot"/>
        </a:ln>
      </c:spPr>
    </c:plotArea>
    <c:legend>
      <c:legendPos val="b"/>
    </c:legend>
    <c:plotVisOnly val="1"/>
    <c:dispBlanksAs val="gap"/>
  </c:chart>
  <c:spPr>
    <a:ln>
      <a:noFill/>
    </a:ln>
  </c:spPr>
  <c:txPr>
    <a:bodyPr/>
    <a:lstStyle/>
    <a:p>
      <a:pPr>
        <a:defRPr sz="700">
          <a:latin typeface="Arial Narrow" pitchFamily="34" charset="0"/>
        </a:defRPr>
      </a:pPr>
      <a:endParaRPr lang="el-G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0.25094850948509484"/>
          <c:y val="0.16454081632653064"/>
          <c:w val="0.46287262872628732"/>
          <c:h val="0.72619047619048205"/>
        </c:manualLayout>
      </c:layout>
      <c:pieChart>
        <c:varyColors val="1"/>
        <c:ser>
          <c:idx val="0"/>
          <c:order val="0"/>
          <c:dPt>
            <c:idx val="0"/>
            <c:spPr>
              <a:solidFill>
                <a:srgbClr val="FFFF00"/>
              </a:solidFill>
            </c:spPr>
          </c:dPt>
          <c:dPt>
            <c:idx val="1"/>
            <c:spPr>
              <a:solidFill>
                <a:srgbClr val="FF0000"/>
              </a:solidFill>
            </c:spPr>
          </c:dPt>
          <c:dPt>
            <c:idx val="2"/>
            <c:spPr>
              <a:solidFill>
                <a:srgbClr val="00FF00"/>
              </a:solidFill>
            </c:spPr>
          </c:dPt>
          <c:dPt>
            <c:idx val="4"/>
            <c:spPr>
              <a:solidFill>
                <a:srgbClr val="66FFFF"/>
              </a:solidFill>
            </c:spPr>
          </c:dPt>
          <c:dLbls>
            <c:dLbl>
              <c:idx val="0"/>
              <c:layout>
                <c:manualLayout>
                  <c:x val="-0.25145125152038794"/>
                  <c:y val="4.1572928383952065E-3"/>
                </c:manualLayout>
              </c:layout>
              <c:spPr/>
              <c:txPr>
                <a:bodyPr/>
                <a:lstStyle/>
                <a:p>
                  <a:pPr>
                    <a:defRPr/>
                  </a:pPr>
                  <a:endParaRPr lang="el-GR"/>
                </a:p>
              </c:txPr>
              <c:dLblPos val="bestFit"/>
              <c:showVal val="1"/>
              <c:showCatName val="1"/>
              <c:separator> </c:separator>
            </c:dLbl>
            <c:dLbl>
              <c:idx val="1"/>
              <c:layout>
                <c:manualLayout>
                  <c:x val="-1.0254155730533683E-2"/>
                  <c:y val="-2.603601633129194E-2"/>
                </c:manualLayout>
              </c:layout>
              <c:spPr/>
              <c:txPr>
                <a:bodyPr/>
                <a:lstStyle/>
                <a:p>
                  <a:pPr>
                    <a:defRPr/>
                  </a:pPr>
                  <a:endParaRPr lang="el-GR"/>
                </a:p>
              </c:txPr>
              <c:dLblPos val="bestFit"/>
              <c:showVal val="1"/>
              <c:showCatName val="1"/>
              <c:separator> </c:separator>
            </c:dLbl>
            <c:dLbl>
              <c:idx val="2"/>
              <c:layout>
                <c:manualLayout>
                  <c:x val="3.8108048993875661E-2"/>
                  <c:y val="1.3175683136695288E-2"/>
                </c:manualLayout>
              </c:layout>
              <c:spPr/>
              <c:txPr>
                <a:bodyPr/>
                <a:lstStyle/>
                <a:p>
                  <a:pPr>
                    <a:defRPr/>
                  </a:pPr>
                  <a:endParaRPr lang="el-GR"/>
                </a:p>
              </c:txPr>
              <c:dLblPos val="bestFit"/>
              <c:showVal val="1"/>
              <c:showCatName val="1"/>
              <c:separator> </c:separator>
            </c:dLbl>
            <c:dLbl>
              <c:idx val="3"/>
              <c:layout>
                <c:manualLayout>
                  <c:x val="0.15248938394895831"/>
                  <c:y val="-9.6701082007606201E-2"/>
                </c:manualLayout>
              </c:layout>
              <c:spPr/>
              <c:txPr>
                <a:bodyPr/>
                <a:lstStyle/>
                <a:p>
                  <a:pPr>
                    <a:defRPr/>
                  </a:pPr>
                  <a:endParaRPr lang="el-GR"/>
                </a:p>
              </c:txPr>
              <c:dLblPos val="bestFit"/>
              <c:showVal val="1"/>
              <c:showCatName val="1"/>
              <c:separator> </c:separator>
            </c:dLbl>
            <c:dLbl>
              <c:idx val="4"/>
              <c:layout>
                <c:manualLayout>
                  <c:x val="-7.3851439301794594E-2"/>
                  <c:y val="3.8497643151748966E-2"/>
                </c:manualLayout>
              </c:layout>
              <c:spPr/>
              <c:txPr>
                <a:bodyPr/>
                <a:lstStyle/>
                <a:p>
                  <a:pPr>
                    <a:defRPr/>
                  </a:pPr>
                  <a:endParaRPr lang="el-GR"/>
                </a:p>
              </c:txPr>
              <c:dLblPos val="bestFit"/>
              <c:showVal val="1"/>
              <c:showCatName val="1"/>
              <c:separator> </c:separator>
            </c:dLbl>
            <c:dLbl>
              <c:idx val="5"/>
              <c:layout>
                <c:manualLayout>
                  <c:x val="-9.4986023088577398E-2"/>
                  <c:y val="2.6616315817665898E-2"/>
                </c:manualLayout>
              </c:layout>
              <c:dLblPos val="bestFit"/>
              <c:showVal val="1"/>
              <c:showCatName val="1"/>
              <c:separator> </c:separator>
            </c:dLbl>
            <c:spPr>
              <a:noFill/>
              <a:ln w="25400">
                <a:noFill/>
              </a:ln>
            </c:spPr>
            <c:showVal val="1"/>
            <c:showCatName val="1"/>
            <c:separator> </c:separator>
            <c:showLeaderLines val="1"/>
          </c:dLbls>
          <c:cat>
            <c:strRef>
              <c:f>'Diagramma 4.6  '!$A$1:$A$6</c:f>
              <c:strCache>
                <c:ptCount val="6"/>
                <c:pt idx="0">
                  <c:v>Έντοκα Γραμμάτια</c:v>
                </c:pt>
                <c:pt idx="1">
                  <c:v>Έως 3 έτη</c:v>
                </c:pt>
                <c:pt idx="2">
                  <c:v>3-5 έτη</c:v>
                </c:pt>
                <c:pt idx="3">
                  <c:v>5-10 έτη</c:v>
                </c:pt>
                <c:pt idx="4">
                  <c:v>10-15 έτη</c:v>
                </c:pt>
                <c:pt idx="5">
                  <c:v>15-30 έτη</c:v>
                </c:pt>
              </c:strCache>
            </c:strRef>
          </c:cat>
          <c:val>
            <c:numRef>
              <c:f>'Diagramma 4.6  '!$B$1:$B$6</c:f>
              <c:numCache>
                <c:formatCode>0.0%</c:formatCode>
                <c:ptCount val="6"/>
                <c:pt idx="0">
                  <c:v>1.2200000000000001E-2</c:v>
                </c:pt>
                <c:pt idx="1">
                  <c:v>2.6599999999999999E-2</c:v>
                </c:pt>
                <c:pt idx="2">
                  <c:v>0.12640000000000001</c:v>
                </c:pt>
                <c:pt idx="3">
                  <c:v>0.51939999999999997</c:v>
                </c:pt>
                <c:pt idx="4">
                  <c:v>8.3700000000000066E-2</c:v>
                </c:pt>
                <c:pt idx="5">
                  <c:v>0.23169999999999999</c:v>
                </c:pt>
              </c:numCache>
            </c:numRef>
          </c:val>
        </c:ser>
        <c:firstSliceAng val="0"/>
      </c:pieChart>
      <c:spPr>
        <a:noFill/>
        <a:ln w="25400">
          <a:noFill/>
        </a:ln>
      </c:spPr>
    </c:plotArea>
    <c:plotVisOnly val="1"/>
    <c:dispBlanksAs val="zero"/>
  </c:chart>
  <c:spPr>
    <a:ln>
      <a:noFill/>
    </a:ln>
  </c:spPr>
  <c:txPr>
    <a:bodyPr/>
    <a:lstStyle/>
    <a:p>
      <a:pPr>
        <a:defRPr sz="800" b="1" i="0" u="none" strike="noStrike" baseline="0">
          <a:solidFill>
            <a:srgbClr val="000000"/>
          </a:solidFill>
          <a:latin typeface="Arial Narrow" pitchFamily="34" charset="0"/>
          <a:ea typeface="Calibri"/>
          <a:cs typeface="Calibri"/>
        </a:defRPr>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7.2933617672790912E-2"/>
          <c:y val="0.13770486090271419"/>
          <c:w val="0.90761750405186359"/>
          <c:h val="0.77049180327869382"/>
        </c:manualLayout>
      </c:layout>
      <c:barChart>
        <c:barDir val="col"/>
        <c:grouping val="clustered"/>
        <c:ser>
          <c:idx val="0"/>
          <c:order val="0"/>
          <c:tx>
            <c:strRef>
              <c:f>'Diagramma 4.7 '!$D$1</c:f>
              <c:strCache>
                <c:ptCount val="1"/>
                <c:pt idx="0">
                  <c:v>2018</c:v>
                </c:pt>
              </c:strCache>
            </c:strRef>
          </c:tx>
          <c:spPr>
            <a:solidFill>
              <a:srgbClr val="FF0000"/>
            </a:solidFill>
            <a:ln w="12700">
              <a:noFill/>
              <a:prstDash val="solid"/>
            </a:ln>
          </c:spPr>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'!$D$2:$D$10</c:f>
              <c:numCache>
                <c:formatCode>0</c:formatCode>
                <c:ptCount val="9"/>
                <c:pt idx="0">
                  <c:v>109</c:v>
                </c:pt>
                <c:pt idx="1">
                  <c:v>200</c:v>
                </c:pt>
                <c:pt idx="2">
                  <c:v>875</c:v>
                </c:pt>
                <c:pt idx="3">
                  <c:v>389</c:v>
                </c:pt>
                <c:pt idx="4">
                  <c:v>434</c:v>
                </c:pt>
                <c:pt idx="5">
                  <c:v>331</c:v>
                </c:pt>
                <c:pt idx="6">
                  <c:v>561</c:v>
                </c:pt>
                <c:pt idx="7">
                  <c:v>283</c:v>
                </c:pt>
                <c:pt idx="8">
                  <c:v>536</c:v>
                </c:pt>
              </c:numCache>
            </c:numRef>
          </c:val>
        </c:ser>
        <c:ser>
          <c:idx val="1"/>
          <c:order val="1"/>
          <c:tx>
            <c:strRef>
              <c:f>'Diagramma 4.7 '!$E$1</c:f>
              <c:strCache>
                <c:ptCount val="1"/>
                <c:pt idx="0">
                  <c:v>2019</c:v>
                </c:pt>
              </c:strCache>
            </c:strRef>
          </c:tx>
          <c:spPr>
            <a:solidFill>
              <a:schemeClr val="bg1">
                <a:lumMod val="75000"/>
              </a:schemeClr>
            </a:solidFill>
            <a:ln w="12700">
              <a:noFill/>
              <a:prstDash val="solid"/>
            </a:ln>
          </c:spPr>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'!$E$2:$E$10</c:f>
              <c:numCache>
                <c:formatCode>0</c:formatCode>
                <c:ptCount val="9"/>
                <c:pt idx="0">
                  <c:v>467</c:v>
                </c:pt>
                <c:pt idx="1">
                  <c:v>968</c:v>
                </c:pt>
                <c:pt idx="2">
                  <c:v>1165</c:v>
                </c:pt>
                <c:pt idx="3">
                  <c:v>885</c:v>
                </c:pt>
                <c:pt idx="4">
                  <c:v>1020</c:v>
                </c:pt>
                <c:pt idx="5">
                  <c:v>818</c:v>
                </c:pt>
                <c:pt idx="6">
                  <c:v>760</c:v>
                </c:pt>
                <c:pt idx="7">
                  <c:v>464</c:v>
                </c:pt>
                <c:pt idx="8">
                  <c:v>580</c:v>
                </c:pt>
              </c:numCache>
            </c:numRef>
          </c:val>
        </c:ser>
        <c:axId val="33258880"/>
        <c:axId val="33264768"/>
      </c:barChart>
      <c:catAx>
        <c:axId val="33258880"/>
        <c:scaling>
          <c:orientation val="minMax"/>
        </c:scaling>
        <c:axPos val="b"/>
        <c:numFmt formatCode="General" sourceLinked="1"/>
        <c:tickLblPos val="nextTo"/>
        <c:spPr>
          <a:ln w="3175">
            <a:solidFill>
              <a:srgbClr val="000000"/>
            </a:solidFill>
            <a:prstDash val="solid"/>
          </a:ln>
        </c:spPr>
        <c:txPr>
          <a:bodyPr rot="0" vert="horz"/>
          <a:lstStyle/>
          <a:p>
            <a:pPr>
              <a:defRPr/>
            </a:pPr>
            <a:endParaRPr lang="el-GR"/>
          </a:p>
        </c:txPr>
        <c:crossAx val="33264768"/>
        <c:crosses val="autoZero"/>
        <c:auto val="1"/>
        <c:lblAlgn val="ctr"/>
        <c:lblOffset val="100"/>
        <c:tickLblSkip val="1"/>
        <c:tickMarkSkip val="1"/>
      </c:catAx>
      <c:valAx>
        <c:axId val="33264768"/>
        <c:scaling>
          <c:orientation val="minMax"/>
          <c:max val="120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l-GR"/>
          </a:p>
        </c:txPr>
        <c:crossAx val="33258880"/>
        <c:crosses val="autoZero"/>
        <c:crossBetween val="between"/>
        <c:majorUnit val="100"/>
      </c:valAx>
      <c:spPr>
        <a:solidFill>
          <a:srgbClr val="FFFFFF"/>
        </a:solidFill>
        <a:ln w="12700">
          <a:solidFill>
            <a:srgbClr val="FFFFFF"/>
          </a:solidFill>
          <a:prstDash val="solid"/>
        </a:ln>
      </c:spPr>
    </c:plotArea>
    <c:legend>
      <c:legendPos val="r"/>
      <c:layout>
        <c:manualLayout>
          <c:xMode val="edge"/>
          <c:yMode val="edge"/>
          <c:x val="0.43059210304367612"/>
          <c:y val="6.0150375939849704E-2"/>
          <c:w val="0.16066871782415368"/>
          <c:h val="7.0175438596491224E-2"/>
        </c:manualLayout>
      </c:layout>
      <c:spPr>
        <a:solidFill>
          <a:srgbClr val="FFFFFF"/>
        </a:solidFill>
        <a:ln w="3175">
          <a:noFill/>
          <a:prstDash val="solid"/>
        </a:ln>
      </c:spPr>
    </c:legend>
    <c:plotVisOnly val="1"/>
    <c:dispBlanksAs val="gap"/>
  </c:chart>
  <c:spPr>
    <a:solidFill>
      <a:srgbClr val="FFFFFF"/>
    </a:solidFill>
    <a:ln w="9525">
      <a:noFill/>
    </a:ln>
  </c:spPr>
  <c:txPr>
    <a:bodyPr/>
    <a:lstStyle/>
    <a:p>
      <a:pPr>
        <a:defRPr sz="800" b="1" i="0" u="none" strike="noStrike" baseline="0">
          <a:solidFill>
            <a:srgbClr val="000000"/>
          </a:solidFill>
          <a:latin typeface="Arial Narrow" pitchFamily="34" charset="0"/>
          <a:ea typeface="Arial"/>
          <a:cs typeface="Arial"/>
        </a:defRPr>
      </a:pPr>
      <a:endParaRPr lang="el-G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0.2955383265918663"/>
          <c:y val="0.12909763232720944"/>
          <c:w val="0.57315014279716148"/>
          <c:h val="0.50773298519976306"/>
        </c:manualLayout>
      </c:layout>
      <c:barChart>
        <c:barDir val="col"/>
        <c:grouping val="clustered"/>
        <c:ser>
          <c:idx val="1"/>
          <c:order val="0"/>
          <c:tx>
            <c:strRef>
              <c:f>table1!$C$11</c:f>
              <c:strCache>
                <c:ptCount val="1"/>
                <c:pt idx="0">
                  <c:v>ΕΓΓΥΗΣΕΙΣ ως % του ΑΕΠ</c:v>
                </c:pt>
              </c:strCache>
            </c:strRef>
          </c:tx>
          <c:spPr>
            <a:solidFill>
              <a:srgbClr val="FF0000"/>
            </a:solidFill>
            <a:ln w="12700">
              <a:solidFill>
                <a:srgbClr val="000000"/>
              </a:solidFill>
              <a:prstDash val="solid"/>
            </a:ln>
          </c:spPr>
          <c:cat>
            <c:strRef>
              <c:f>table1!$A$12:$A$26</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table1!$C$12:$C$26</c:f>
              <c:numCache>
                <c:formatCode>0.00%</c:formatCode>
                <c:ptCount val="15"/>
                <c:pt idx="0">
                  <c:v>8.2000000000000007E-3</c:v>
                </c:pt>
                <c:pt idx="1">
                  <c:v>8.0000000000000227E-3</c:v>
                </c:pt>
                <c:pt idx="2">
                  <c:v>7.1000000000000134E-3</c:v>
                </c:pt>
                <c:pt idx="3">
                  <c:v>7.4000000000000446E-3</c:v>
                </c:pt>
                <c:pt idx="4">
                  <c:v>6.6000000000000034E-3</c:v>
                </c:pt>
                <c:pt idx="5">
                  <c:v>5.5000000000000023E-3</c:v>
                </c:pt>
                <c:pt idx="6">
                  <c:v>8.7000000000000046E-3</c:v>
                </c:pt>
                <c:pt idx="7">
                  <c:v>3.600000000000019E-3</c:v>
                </c:pt>
                <c:pt idx="8">
                  <c:v>3.5000000000000179E-3</c:v>
                </c:pt>
                <c:pt idx="9">
                  <c:v>3.0000000000000092E-3</c:v>
                </c:pt>
                <c:pt idx="10">
                  <c:v>4.0000000000000034E-4</c:v>
                </c:pt>
                <c:pt idx="11">
                  <c:v>9.0000000000000247E-4</c:v>
                </c:pt>
                <c:pt idx="12">
                  <c:v>1.5000000000000072E-3</c:v>
                </c:pt>
                <c:pt idx="13">
                  <c:v>1.0000000000000041E-3</c:v>
                </c:pt>
                <c:pt idx="14">
                  <c:v>2.2000000000000092E-3</c:v>
                </c:pt>
              </c:numCache>
            </c:numRef>
          </c:val>
        </c:ser>
        <c:ser>
          <c:idx val="2"/>
          <c:order val="1"/>
          <c:tx>
            <c:strRef>
              <c:f>table1!$G$11</c:f>
              <c:strCache>
                <c:ptCount val="1"/>
                <c:pt idx="0">
                  <c:v>ΚΑΤΑΠΤΩΣΕΙΣ ως  % του ΑΕΠ</c:v>
                </c:pt>
              </c:strCache>
            </c:strRef>
          </c:tx>
          <c:spPr>
            <a:solidFill>
              <a:srgbClr val="0000FF"/>
            </a:solidFill>
            <a:ln w="38100">
              <a:solidFill>
                <a:srgbClr val="0000FF"/>
              </a:solidFill>
              <a:prstDash val="solid"/>
            </a:ln>
          </c:spPr>
          <c:cat>
            <c:strRef>
              <c:f>table1!$A$12:$A$26</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table1!$G$12:$G$26</c:f>
              <c:numCache>
                <c:formatCode>0.00%</c:formatCode>
                <c:ptCount val="15"/>
                <c:pt idx="0">
                  <c:v>1.9000000000000124E-3</c:v>
                </c:pt>
                <c:pt idx="1">
                  <c:v>4.0000000000000034E-4</c:v>
                </c:pt>
                <c:pt idx="2">
                  <c:v>2.0000000000000052E-4</c:v>
                </c:pt>
                <c:pt idx="3">
                  <c:v>1.8000000000000097E-3</c:v>
                </c:pt>
                <c:pt idx="4">
                  <c:v>3.0000000000000092E-3</c:v>
                </c:pt>
                <c:pt idx="5">
                  <c:v>4.3000000000000104E-3</c:v>
                </c:pt>
                <c:pt idx="6">
                  <c:v>7.0000000000000114E-3</c:v>
                </c:pt>
                <c:pt idx="7">
                  <c:v>4.2000000000000023E-3</c:v>
                </c:pt>
                <c:pt idx="8">
                  <c:v>4.9000000000000302E-3</c:v>
                </c:pt>
                <c:pt idx="9">
                  <c:v>3.3000000000000052E-3</c:v>
                </c:pt>
                <c:pt idx="10">
                  <c:v>4.0000000000000114E-3</c:v>
                </c:pt>
                <c:pt idx="11">
                  <c:v>2.3000000000000052E-3</c:v>
                </c:pt>
                <c:pt idx="12">
                  <c:v>3.8000000000000052E-3</c:v>
                </c:pt>
                <c:pt idx="13">
                  <c:v>5.0000000000000034E-4</c:v>
                </c:pt>
                <c:pt idx="14">
                  <c:v>1.0000000000000068E-4</c:v>
                </c:pt>
              </c:numCache>
            </c:numRef>
          </c:val>
        </c:ser>
        <c:axId val="33323648"/>
        <c:axId val="33334016"/>
      </c:barChart>
      <c:lineChart>
        <c:grouping val="standard"/>
        <c:ser>
          <c:idx val="0"/>
          <c:order val="2"/>
          <c:tx>
            <c:strRef>
              <c:f>table1!$E$11</c:f>
              <c:strCache>
                <c:ptCount val="1"/>
                <c:pt idx="0">
                  <c:v>ΥΠΟΛΟΙΠΟ ως % του ΑΕΠ</c:v>
                </c:pt>
              </c:strCache>
            </c:strRef>
          </c:tx>
          <c:spPr>
            <a:ln w="38100">
              <a:solidFill>
                <a:srgbClr val="008000"/>
              </a:solidFill>
              <a:prstDash val="solid"/>
            </a:ln>
          </c:spPr>
          <c:marker>
            <c:symbol val="diamond"/>
            <c:size val="7"/>
            <c:spPr>
              <a:solidFill>
                <a:srgbClr val="008000"/>
              </a:solidFill>
              <a:ln w="6350">
                <a:solidFill>
                  <a:srgbClr val="008000"/>
                </a:solidFill>
                <a:prstDash val="solid"/>
              </a:ln>
            </c:spPr>
          </c:marker>
          <c:val>
            <c:numRef>
              <c:f>table1!$E$12:$E$26</c:f>
              <c:numCache>
                <c:formatCode>0.00%</c:formatCode>
                <c:ptCount val="15"/>
                <c:pt idx="0">
                  <c:v>8.1300000000000011E-2</c:v>
                </c:pt>
                <c:pt idx="1">
                  <c:v>8.2300000000000012E-2</c:v>
                </c:pt>
                <c:pt idx="2">
                  <c:v>8.5600000000000065E-2</c:v>
                </c:pt>
                <c:pt idx="3">
                  <c:v>9.6000000000000044E-2</c:v>
                </c:pt>
                <c:pt idx="4">
                  <c:v>0.10770000000000043</c:v>
                </c:pt>
                <c:pt idx="5">
                  <c:v>9.9300000000000055E-2</c:v>
                </c:pt>
                <c:pt idx="6">
                  <c:v>9.6400000000000013E-2</c:v>
                </c:pt>
                <c:pt idx="7">
                  <c:v>0.10100000000000002</c:v>
                </c:pt>
                <c:pt idx="8">
                  <c:v>9.540000000000004E-2</c:v>
                </c:pt>
                <c:pt idx="9">
                  <c:v>9.1300000000000006E-2</c:v>
                </c:pt>
                <c:pt idx="10">
                  <c:v>8.5300000000000015E-2</c:v>
                </c:pt>
                <c:pt idx="11">
                  <c:v>7.4400000000000133E-2</c:v>
                </c:pt>
                <c:pt idx="12">
                  <c:v>6.4100000000000032E-2</c:v>
                </c:pt>
                <c:pt idx="13">
                  <c:v>5.5900000000000019E-2</c:v>
                </c:pt>
                <c:pt idx="14">
                  <c:v>5.2400000000000023E-2</c:v>
                </c:pt>
              </c:numCache>
            </c:numRef>
          </c:val>
        </c:ser>
        <c:marker val="1"/>
        <c:axId val="33335936"/>
        <c:axId val="33341824"/>
      </c:lineChart>
      <c:catAx>
        <c:axId val="33323648"/>
        <c:scaling>
          <c:orientation val="minMax"/>
        </c:scaling>
        <c:axPos val="b"/>
        <c:numFmt formatCode="@" sourceLinked="1"/>
        <c:majorTickMark val="cross"/>
        <c:tickLblPos val="nextTo"/>
        <c:spPr>
          <a:ln w="3175">
            <a:solidFill>
              <a:srgbClr val="000000"/>
            </a:solidFill>
            <a:prstDash val="solid"/>
          </a:ln>
        </c:spPr>
        <c:txPr>
          <a:bodyPr rot="0" vert="horz"/>
          <a:lstStyle/>
          <a:p>
            <a:pPr>
              <a:defRPr/>
            </a:pPr>
            <a:endParaRPr lang="el-GR"/>
          </a:p>
        </c:txPr>
        <c:crossAx val="33334016"/>
        <c:crosses val="autoZero"/>
        <c:lblAlgn val="ctr"/>
        <c:lblOffset val="100"/>
        <c:tickMarkSkip val="1"/>
      </c:catAx>
      <c:valAx>
        <c:axId val="33334016"/>
        <c:scaling>
          <c:orientation val="minMax"/>
        </c:scaling>
        <c:axPos val="l"/>
        <c:title>
          <c:tx>
            <c:rich>
              <a:bodyPr/>
              <a:lstStyle/>
              <a:p>
                <a:pPr>
                  <a:defRPr/>
                </a:pPr>
                <a:r>
                  <a:rPr lang="el-GR"/>
                  <a:t>ΕΓΓΥΗΣΕΙΣ &amp; ΚΑΤΑΠΤΩΣΕΙΣ </a:t>
                </a:r>
              </a:p>
              <a:p>
                <a:pPr>
                  <a:defRPr/>
                </a:pPr>
                <a:r>
                  <a:rPr lang="el-GR"/>
                  <a:t>ΩΣ % ΤΟΥ ΑΕΠ</a:t>
                </a:r>
              </a:p>
            </c:rich>
          </c:tx>
          <c:layout>
            <c:manualLayout>
              <c:xMode val="edge"/>
              <c:yMode val="edge"/>
              <c:x val="0.10044729331916213"/>
              <c:y val="0.22814083194042095"/>
            </c:manualLayout>
          </c:layout>
          <c:spPr>
            <a:noFill/>
            <a:ln w="25400">
              <a:noFill/>
            </a:ln>
          </c:spPr>
        </c:title>
        <c:numFmt formatCode="0.00%" sourceLinked="1"/>
        <c:majorTickMark val="cross"/>
        <c:tickLblPos val="nextTo"/>
        <c:spPr>
          <a:ln w="3175">
            <a:solidFill>
              <a:srgbClr val="000000"/>
            </a:solidFill>
            <a:prstDash val="solid"/>
          </a:ln>
        </c:spPr>
        <c:txPr>
          <a:bodyPr rot="0" vert="horz"/>
          <a:lstStyle/>
          <a:p>
            <a:pPr>
              <a:defRPr/>
            </a:pPr>
            <a:endParaRPr lang="el-GR"/>
          </a:p>
        </c:txPr>
        <c:crossAx val="33323648"/>
        <c:crosses val="autoZero"/>
        <c:crossBetween val="between"/>
      </c:valAx>
      <c:catAx>
        <c:axId val="33335936"/>
        <c:scaling>
          <c:orientation val="minMax"/>
        </c:scaling>
        <c:delete val="1"/>
        <c:axPos val="b"/>
        <c:tickLblPos val="none"/>
        <c:crossAx val="33341824"/>
        <c:crosses val="autoZero"/>
        <c:lblAlgn val="ctr"/>
        <c:lblOffset val="100"/>
      </c:catAx>
      <c:valAx>
        <c:axId val="33341824"/>
        <c:scaling>
          <c:orientation val="minMax"/>
        </c:scaling>
        <c:axPos val="r"/>
        <c:title>
          <c:tx>
            <c:rich>
              <a:bodyPr/>
              <a:lstStyle/>
              <a:p>
                <a:pPr>
                  <a:defRPr/>
                </a:pPr>
                <a:r>
                  <a:rPr lang="el-GR"/>
                  <a:t>ΑΝΕΞΟΦΛΗΤΟ ΕΓΓΥΗΜΕΝΟ ΥΠΟΛΟΙΠΟ </a:t>
                </a:r>
              </a:p>
              <a:p>
                <a:pPr>
                  <a:defRPr/>
                </a:pPr>
                <a:r>
                  <a:rPr lang="el-GR"/>
                  <a:t>ΩΣ % ΤΟΥ ΑΕΠ</a:t>
                </a:r>
              </a:p>
            </c:rich>
          </c:tx>
          <c:layout>
            <c:manualLayout>
              <c:xMode val="edge"/>
              <c:yMode val="edge"/>
              <c:x val="0.94230617496848668"/>
              <c:y val="0.18910191417240096"/>
            </c:manualLayout>
          </c:layout>
          <c:spPr>
            <a:noFill/>
            <a:ln w="25400">
              <a:noFill/>
            </a:ln>
          </c:spPr>
        </c:title>
        <c:numFmt formatCode="0.00%" sourceLinked="1"/>
        <c:majorTickMark val="cross"/>
        <c:tickLblPos val="nextTo"/>
        <c:spPr>
          <a:ln w="3175">
            <a:solidFill>
              <a:srgbClr val="000000"/>
            </a:solidFill>
            <a:prstDash val="solid"/>
          </a:ln>
        </c:spPr>
        <c:txPr>
          <a:bodyPr rot="0" vert="horz"/>
          <a:lstStyle/>
          <a:p>
            <a:pPr>
              <a:defRPr/>
            </a:pPr>
            <a:endParaRPr lang="el-GR"/>
          </a:p>
        </c:txPr>
        <c:crossAx val="33335936"/>
        <c:crosses val="max"/>
        <c:crossBetween val="between"/>
      </c:valAx>
      <c:dTable>
        <c:showHorzBorder val="1"/>
        <c:showVertBorder val="1"/>
        <c:showOutline val="1"/>
        <c:showKeys val="1"/>
        <c:spPr>
          <a:ln w="3175">
            <a:solidFill>
              <a:srgbClr val="008000"/>
            </a:solidFill>
            <a:prstDash val="solid"/>
          </a:ln>
        </c:spPr>
        <c:txPr>
          <a:bodyPr/>
          <a:lstStyle/>
          <a:p>
            <a:pPr rtl="0">
              <a:defRPr sz="600"/>
            </a:pPr>
            <a:endParaRPr lang="el-GR"/>
          </a:p>
        </c:txPr>
      </c:dTable>
      <c:spPr>
        <a:noFill/>
        <a:ln w="12700">
          <a:noFill/>
          <a:prstDash val="solid"/>
        </a:ln>
      </c:spPr>
    </c:plotArea>
    <c:plotVisOnly val="1"/>
    <c:dispBlanksAs val="gap"/>
  </c:chart>
  <c:spPr>
    <a:noFill/>
    <a:ln w="9525">
      <a:noFill/>
    </a:ln>
  </c:spPr>
  <c:txPr>
    <a:bodyPr/>
    <a:lstStyle/>
    <a:p>
      <a:pPr>
        <a:defRPr sz="700" b="1" i="0" u="none" strike="noStrike" baseline="0">
          <a:solidFill>
            <a:srgbClr val="000000"/>
          </a:solidFill>
          <a:latin typeface="Arial Narrow" pitchFamily="34" charset="0"/>
          <a:ea typeface="Arial"/>
          <a:cs typeface="Arial"/>
        </a:defRPr>
      </a:pPr>
      <a:endParaRPr lang="el-G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0.89863</cdr:x>
      <cdr:y>0.75837</cdr:y>
    </cdr:from>
    <cdr:to>
      <cdr:x>1</cdr:x>
      <cdr:y>0.89811</cdr:y>
    </cdr:to>
    <cdr:sp macro="" textlink="">
      <cdr:nvSpPr>
        <cdr:cNvPr id="4" name="3 - TextBox"/>
        <cdr:cNvSpPr txBox="1"/>
      </cdr:nvSpPr>
      <cdr:spPr>
        <a:xfrm xmlns:a="http://schemas.openxmlformats.org/drawingml/2006/main">
          <a:off x="8801100" y="49625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l-GR"/>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42C9D-6C9E-47B9-A5C4-81BE31E64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EIS_2005</Template>
  <TotalTime>0</TotalTime>
  <Pages>16</Pages>
  <Words>5417</Words>
  <Characters>29252</Characters>
  <Application>Microsoft Office Word</Application>
  <DocSecurity>0</DocSecurity>
  <Lines>243</Lines>
  <Paragraphs>69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pxristof</dc:creator>
  <cp:lastModifiedBy>mvlaxaki</cp:lastModifiedBy>
  <cp:revision>2</cp:revision>
  <cp:lastPrinted>2019-11-13T08:27:00Z</cp:lastPrinted>
  <dcterms:created xsi:type="dcterms:W3CDTF">2019-11-20T17:21:00Z</dcterms:created>
  <dcterms:modified xsi:type="dcterms:W3CDTF">2019-11-20T17:21:00Z</dcterms:modified>
</cp:coreProperties>
</file>