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AB" w:rsidRPr="002A3DAA" w:rsidRDefault="00361F11" w:rsidP="00BD6F50">
      <w:pPr>
        <w:jc w:val="both"/>
        <w:rPr>
          <w:rFonts w:ascii="Arial Narrow" w:hAnsi="Arial Narrow"/>
          <w:b/>
          <w:color w:val="000080"/>
          <w:sz w:val="40"/>
          <w:szCs w:val="40"/>
        </w:rPr>
      </w:pPr>
      <w:r w:rsidRPr="002A3DAA">
        <w:rPr>
          <w:rFonts w:ascii="Arial Narrow" w:hAnsi="Arial Narrow"/>
          <w:b/>
          <w:color w:val="000080"/>
          <w:sz w:val="40"/>
          <w:szCs w:val="40"/>
        </w:rPr>
        <w:t xml:space="preserve">ΟΙΚΟΝΟΜΙΚΕΣ </w:t>
      </w:r>
      <w:r w:rsidR="00A41DAB" w:rsidRPr="002A3DAA">
        <w:rPr>
          <w:rFonts w:ascii="Arial Narrow" w:hAnsi="Arial Narrow"/>
          <w:b/>
          <w:color w:val="000080"/>
          <w:sz w:val="40"/>
          <w:szCs w:val="40"/>
        </w:rPr>
        <w:t>ΕΞΕΛΙΞΕΙΣ</w:t>
      </w:r>
    </w:p>
    <w:p w:rsidR="00A41DAB" w:rsidRPr="002A3DAA" w:rsidRDefault="00A41DAB" w:rsidP="00A41DAB">
      <w:pPr>
        <w:jc w:val="both"/>
        <w:rPr>
          <w:rFonts w:ascii="Arial Narrow" w:hAnsi="Arial Narrow"/>
          <w:b/>
          <w:color w:val="000080"/>
          <w:sz w:val="40"/>
          <w:szCs w:val="40"/>
        </w:rPr>
      </w:pPr>
      <w:r w:rsidRPr="002A3DAA">
        <w:rPr>
          <w:rFonts w:ascii="Arial Narrow" w:hAnsi="Arial Narrow"/>
          <w:b/>
          <w:color w:val="000080"/>
          <w:sz w:val="40"/>
          <w:szCs w:val="40"/>
        </w:rPr>
        <w:t>ΚΑΙ ΠΡΟΟΠΤΙΚΕΣ</w:t>
      </w:r>
    </w:p>
    <w:p w:rsidR="00A41DAB" w:rsidRPr="00472EC7" w:rsidRDefault="00A41DAB" w:rsidP="00A41DAB">
      <w:pPr>
        <w:jc w:val="both"/>
        <w:rPr>
          <w:rFonts w:ascii="Arial Narrow" w:hAnsi="Arial Narrow"/>
          <w:color w:val="000080"/>
          <w:sz w:val="40"/>
          <w:szCs w:val="40"/>
        </w:rPr>
      </w:pPr>
    </w:p>
    <w:p w:rsidR="006E2D30" w:rsidRPr="00472EC7" w:rsidRDefault="00A41DAB" w:rsidP="00E5576A">
      <w:pPr>
        <w:shd w:val="clear" w:color="auto" w:fill="595959"/>
        <w:jc w:val="both"/>
        <w:rPr>
          <w:rFonts w:ascii="Arial Narrow" w:hAnsi="Arial Narrow"/>
          <w:b/>
          <w:color w:val="FFFFFF"/>
          <w:sz w:val="26"/>
          <w:szCs w:val="26"/>
        </w:rPr>
      </w:pPr>
      <w:r w:rsidRPr="00472EC7">
        <w:rPr>
          <w:rFonts w:ascii="Arial Narrow" w:hAnsi="Arial Narrow"/>
          <w:b/>
          <w:color w:val="FFFFFF"/>
          <w:sz w:val="26"/>
          <w:szCs w:val="26"/>
        </w:rPr>
        <w:t>1.</w:t>
      </w:r>
      <w:r w:rsidRPr="00472EC7">
        <w:rPr>
          <w:rFonts w:ascii="Arial Narrow" w:hAnsi="Arial Narrow"/>
          <w:b/>
          <w:color w:val="FFFFFF"/>
          <w:sz w:val="26"/>
          <w:szCs w:val="26"/>
        </w:rPr>
        <w:tab/>
        <w:t>Διεθνείς οικονομικές εξελίξεις</w:t>
      </w:r>
    </w:p>
    <w:p w:rsidR="00793243" w:rsidRPr="002B4535" w:rsidRDefault="00793243" w:rsidP="00793243">
      <w:pPr>
        <w:pStyle w:val="10"/>
        <w:rPr>
          <w:sz w:val="22"/>
        </w:rPr>
      </w:pPr>
      <w:bookmarkStart w:id="0" w:name="OLE_LINK1"/>
    </w:p>
    <w:p w:rsidR="002B4535" w:rsidRPr="002B4535" w:rsidRDefault="00490C3E" w:rsidP="00B67AAE">
      <w:pPr>
        <w:pStyle w:val="10"/>
        <w:jc w:val="both"/>
        <w:rPr>
          <w:bCs/>
          <w:sz w:val="22"/>
        </w:rPr>
      </w:pPr>
      <w:r w:rsidRPr="002B4535">
        <w:rPr>
          <w:bCs/>
          <w:sz w:val="22"/>
        </w:rPr>
        <w:t>Η Ευρωπαϊκή Επιτροπή</w:t>
      </w:r>
      <w:r w:rsidRPr="002B4535">
        <w:rPr>
          <w:bCs/>
          <w:sz w:val="22"/>
          <w:vertAlign w:val="superscript"/>
        </w:rPr>
        <w:footnoteReference w:id="1"/>
      </w:r>
      <w:r w:rsidRPr="002B4535">
        <w:rPr>
          <w:bCs/>
          <w:sz w:val="22"/>
        </w:rPr>
        <w:t xml:space="preserve"> εκτιμά ρυθμό μεγέθυνσης στο 2,9% και 3,0% για την παγκόσμια ανάπτυξη το 2019 και 2020 αντίστοιχα, δηλαδή χαμηλότερο κατά 0,1% και 0,4% από τις προβλέψεις του ΔΝΤ. </w:t>
      </w:r>
      <w:r w:rsidR="002B4535" w:rsidRPr="002B4535">
        <w:rPr>
          <w:bCs/>
          <w:sz w:val="22"/>
        </w:rPr>
        <w:t>Σύμφωνα με τα στοιχεία της τελευταίας έκθεσης του Διεθνούς Νομισματικού Ταμείου</w:t>
      </w:r>
      <w:r w:rsidR="002B4535" w:rsidRPr="002B4535">
        <w:rPr>
          <w:bCs/>
          <w:sz w:val="22"/>
          <w:vertAlign w:val="superscript"/>
        </w:rPr>
        <w:footnoteReference w:id="2"/>
      </w:r>
      <w:r w:rsidR="002B4535" w:rsidRPr="002B4535">
        <w:rPr>
          <w:bCs/>
          <w:sz w:val="22"/>
        </w:rPr>
        <w:t xml:space="preserve"> (</w:t>
      </w:r>
      <w:r w:rsidR="002B4535" w:rsidRPr="002B4535">
        <w:rPr>
          <w:bCs/>
          <w:sz w:val="22"/>
          <w:lang w:val="en-US"/>
        </w:rPr>
        <w:t>World</w:t>
      </w:r>
      <w:r w:rsidR="002B4535" w:rsidRPr="002B4535">
        <w:rPr>
          <w:bCs/>
          <w:sz w:val="22"/>
        </w:rPr>
        <w:t xml:space="preserve"> </w:t>
      </w:r>
      <w:r w:rsidR="002B4535" w:rsidRPr="002B4535">
        <w:rPr>
          <w:bCs/>
          <w:sz w:val="22"/>
          <w:lang w:val="en-US"/>
        </w:rPr>
        <w:t>Ec</w:t>
      </w:r>
      <w:r w:rsidR="002B4535" w:rsidRPr="002B4535">
        <w:rPr>
          <w:bCs/>
          <w:sz w:val="22"/>
          <w:lang w:val="en-US"/>
        </w:rPr>
        <w:t>o</w:t>
      </w:r>
      <w:r w:rsidR="002B4535" w:rsidRPr="002B4535">
        <w:rPr>
          <w:bCs/>
          <w:sz w:val="22"/>
          <w:lang w:val="en-US"/>
        </w:rPr>
        <w:t>nomic</w:t>
      </w:r>
      <w:r w:rsidR="002B4535" w:rsidRPr="002B4535">
        <w:rPr>
          <w:bCs/>
          <w:sz w:val="22"/>
        </w:rPr>
        <w:t xml:space="preserve"> </w:t>
      </w:r>
      <w:r w:rsidR="002B4535" w:rsidRPr="002B4535">
        <w:rPr>
          <w:bCs/>
          <w:sz w:val="22"/>
          <w:lang w:val="en-US"/>
        </w:rPr>
        <w:t>Outlook</w:t>
      </w:r>
      <w:r w:rsidR="002B4535" w:rsidRPr="002B4535">
        <w:rPr>
          <w:bCs/>
          <w:sz w:val="22"/>
        </w:rPr>
        <w:t>, Οκτώβριος 2019) η πορεία της παγκόσμιας ανάπτυξης εξακολουθεί να είναι υποτον</w:t>
      </w:r>
      <w:r w:rsidR="002B4535" w:rsidRPr="002B4535">
        <w:rPr>
          <w:bCs/>
          <w:sz w:val="22"/>
        </w:rPr>
        <w:t>ι</w:t>
      </w:r>
      <w:r w:rsidR="002B4535" w:rsidRPr="002B4535">
        <w:rPr>
          <w:bCs/>
          <w:sz w:val="22"/>
        </w:rPr>
        <w:t>κή, καθώς προβλέπεται σε 3,0% και 3,4% για τα έτη 2019 και 2020 αντίστοιχα (από 3,6% το 2018) (Πίνακας 1.1). Οι εξελίξεις στην παγκόσμια ανάπτυξη διαμορφώνονται κυρίως εν μέσω της αναμεν</w:t>
      </w:r>
      <w:r w:rsidR="002B4535" w:rsidRPr="002B4535">
        <w:rPr>
          <w:bCs/>
          <w:sz w:val="22"/>
        </w:rPr>
        <w:t>ό</w:t>
      </w:r>
      <w:r w:rsidR="002B4535" w:rsidRPr="002B4535">
        <w:rPr>
          <w:bCs/>
          <w:sz w:val="22"/>
        </w:rPr>
        <w:t>μενης επιβράδυνσης της κυκλικής δυναμικής στις προηγμένες οικονομίες, της κλιμάκωσης των εμπ</w:t>
      </w:r>
      <w:r w:rsidR="002B4535" w:rsidRPr="002B4535">
        <w:rPr>
          <w:bCs/>
          <w:sz w:val="22"/>
        </w:rPr>
        <w:t>ο</w:t>
      </w:r>
      <w:r w:rsidR="002B4535" w:rsidRPr="002B4535">
        <w:rPr>
          <w:bCs/>
          <w:sz w:val="22"/>
        </w:rPr>
        <w:t xml:space="preserve">ρικών εντάσεων, της επιβράδυνσης της οικονομίας της Κίνας και της ανάκαμψης των αναδυόμενων οικονομιών (εκτός της Κίνας). </w:t>
      </w:r>
    </w:p>
    <w:p w:rsidR="002B4535" w:rsidRPr="002B4535" w:rsidRDefault="002B4535" w:rsidP="00B67AAE">
      <w:pPr>
        <w:pStyle w:val="10"/>
        <w:jc w:val="both"/>
        <w:rPr>
          <w:bCs/>
          <w:sz w:val="22"/>
        </w:rPr>
      </w:pPr>
    </w:p>
    <w:p w:rsidR="002B4535" w:rsidRPr="002B4535" w:rsidRDefault="002B4535" w:rsidP="00B67AAE">
      <w:pPr>
        <w:pStyle w:val="10"/>
        <w:jc w:val="both"/>
        <w:rPr>
          <w:bCs/>
          <w:sz w:val="22"/>
        </w:rPr>
      </w:pPr>
      <w:r w:rsidRPr="002B4535">
        <w:rPr>
          <w:bCs/>
          <w:sz w:val="22"/>
        </w:rPr>
        <w:t>Σημειώνεται ότι οι προοπτικές έχουν αναθεωρηθεί προς τα κάτω κατά 0,2% και 0,1% για τα έτη 2019 και 2020 αντίστοιχα, συγκριτικά με την έκθεση του Ιουλίου του ιδίου έτους. Η προς τα κάτω αναθε</w:t>
      </w:r>
      <w:r w:rsidRPr="002B4535">
        <w:rPr>
          <w:bCs/>
          <w:sz w:val="22"/>
        </w:rPr>
        <w:t>ώ</w:t>
      </w:r>
      <w:r w:rsidRPr="002B4535">
        <w:rPr>
          <w:bCs/>
          <w:sz w:val="22"/>
        </w:rPr>
        <w:t xml:space="preserve">ρηση αντανακλά αφενός μια λιγότερο δυναμική ανάκαμψη σε ορισμένες αναδυόμενες οικονομίες της αγοράς απ’ ό,τι αναμενόταν και αφετέρου τις αναταράξεις στο παγκόσμιο εμπόριο. </w:t>
      </w:r>
    </w:p>
    <w:p w:rsidR="002B4535" w:rsidRPr="002B4535" w:rsidRDefault="002B4535" w:rsidP="00B67AAE">
      <w:pPr>
        <w:pStyle w:val="10"/>
        <w:jc w:val="both"/>
        <w:rPr>
          <w:bCs/>
          <w:sz w:val="22"/>
        </w:rPr>
      </w:pPr>
    </w:p>
    <w:p w:rsidR="002B4535" w:rsidRPr="002B4535" w:rsidRDefault="002B4535" w:rsidP="00B67AAE">
      <w:pPr>
        <w:pStyle w:val="10"/>
        <w:jc w:val="both"/>
        <w:rPr>
          <w:bCs/>
          <w:sz w:val="22"/>
        </w:rPr>
      </w:pPr>
      <w:r w:rsidRPr="002B4535">
        <w:rPr>
          <w:bCs/>
          <w:sz w:val="22"/>
        </w:rPr>
        <w:t>Στις αναπτυγμένες χώρες ο ρυθμός οικονομικής μεγέθυνσης παραμένει αμετάβλητος για το 2020 σε 1,7% και μειωμένος κατά 0,2% για το 2019 σε σχέση με τα στοιχεία της προηγούμενης έκθεσης (Ιο</w:t>
      </w:r>
      <w:r w:rsidRPr="002B4535">
        <w:rPr>
          <w:bCs/>
          <w:sz w:val="22"/>
        </w:rPr>
        <w:t>ύ</w:t>
      </w:r>
      <w:r w:rsidRPr="002B4535">
        <w:rPr>
          <w:bCs/>
          <w:sz w:val="22"/>
        </w:rPr>
        <w:t>λιος 2019). Ειδικότερα για τις ΗΠΑ, το ΔΝΤ σύμφωνα με την έκθεση του Οκτωβρίου 2019, προβλ</w:t>
      </w:r>
      <w:r w:rsidRPr="002B4535">
        <w:rPr>
          <w:bCs/>
          <w:sz w:val="22"/>
        </w:rPr>
        <w:t>έ</w:t>
      </w:r>
      <w:r w:rsidRPr="002B4535">
        <w:rPr>
          <w:bCs/>
          <w:sz w:val="22"/>
        </w:rPr>
        <w:t>πει ανάπτυξη 2,4% και 2,1% για το 2019 και 2020 αντίστοιχα, μειωμένη κατά 0,2% για το 2019 και αυξημένη κατά 0,2% για το 2020, συγκριτικά με την έκθεση του Ιουλίου του ιδίου έτους. Η χαμηλ</w:t>
      </w:r>
      <w:r w:rsidRPr="002B4535">
        <w:rPr>
          <w:bCs/>
          <w:sz w:val="22"/>
        </w:rPr>
        <w:t>ό</w:t>
      </w:r>
      <w:r w:rsidRPr="002B4535">
        <w:rPr>
          <w:bCs/>
          <w:sz w:val="22"/>
        </w:rPr>
        <w:t>τερη εκτίμηση των προβλέψεων της οικονομίας των ΗΠΑ βασίζεται στις επιπτώσεις από την αβ</w:t>
      </w:r>
      <w:r w:rsidRPr="002B4535">
        <w:rPr>
          <w:bCs/>
          <w:sz w:val="22"/>
        </w:rPr>
        <w:t>ε</w:t>
      </w:r>
      <w:r w:rsidRPr="002B4535">
        <w:rPr>
          <w:bCs/>
          <w:sz w:val="22"/>
        </w:rPr>
        <w:t>βαιότητα ως προς τις επιδράσεις των κλιμακούμενων μέτρων του εμπορικού προστατευτισμού και σε μεγάλο βαθμό στην ωρίμανση του οικονομικού κύκλου.</w:t>
      </w:r>
    </w:p>
    <w:p w:rsidR="002B4535" w:rsidRPr="002B4535" w:rsidRDefault="002B4535" w:rsidP="00B67AAE">
      <w:pPr>
        <w:pStyle w:val="10"/>
        <w:jc w:val="both"/>
        <w:rPr>
          <w:bCs/>
          <w:sz w:val="22"/>
        </w:rPr>
      </w:pPr>
    </w:p>
    <w:p w:rsidR="002B4535" w:rsidRPr="002B4535" w:rsidRDefault="002B4535" w:rsidP="00B67AAE">
      <w:pPr>
        <w:pStyle w:val="10"/>
        <w:jc w:val="both"/>
        <w:rPr>
          <w:bCs/>
          <w:sz w:val="22"/>
        </w:rPr>
      </w:pPr>
      <w:r w:rsidRPr="002B4535">
        <w:rPr>
          <w:bCs/>
          <w:sz w:val="22"/>
        </w:rPr>
        <w:t>Για την Ευρωζώνη</w:t>
      </w:r>
      <w:r w:rsidRPr="002B4535">
        <w:rPr>
          <w:b/>
          <w:bCs/>
          <w:sz w:val="22"/>
        </w:rPr>
        <w:t xml:space="preserve"> </w:t>
      </w:r>
      <w:r w:rsidRPr="002B4535">
        <w:rPr>
          <w:bCs/>
          <w:sz w:val="22"/>
        </w:rPr>
        <w:t>αναμένεται ρυθμός οικονομικής μεγέθυνσης 1,1%</w:t>
      </w:r>
      <w:r w:rsidRPr="002B4535">
        <w:rPr>
          <w:bCs/>
          <w:sz w:val="22"/>
          <w:vertAlign w:val="superscript"/>
        </w:rPr>
        <w:t>2</w:t>
      </w:r>
      <w:r w:rsidRPr="002B4535">
        <w:rPr>
          <w:bCs/>
          <w:sz w:val="22"/>
        </w:rPr>
        <w:t xml:space="preserve"> για το 2019 και 1,2% για το 2020, σύμφωνα με τα στοιχεία της έκθεσης της Ευρωπαϊκής Επιτροπής (Νοέμβριος 2019), από 1,2% και 1,4% αντίστοιχα, σύμφωνα με την αντίστοιχη έκθεση του Ιουλίου 2019. Η προς τα κάτω αναθε</w:t>
      </w:r>
      <w:r w:rsidRPr="002B4535">
        <w:rPr>
          <w:bCs/>
          <w:sz w:val="22"/>
        </w:rPr>
        <w:t>ώ</w:t>
      </w:r>
      <w:r w:rsidRPr="002B4535">
        <w:rPr>
          <w:bCs/>
          <w:sz w:val="22"/>
        </w:rPr>
        <w:t>ρηση οφείλεται στις ασθενέστερες από τις αναμενόμενες ε</w:t>
      </w:r>
      <w:r w:rsidR="00FF69F1">
        <w:rPr>
          <w:bCs/>
          <w:sz w:val="22"/>
        </w:rPr>
        <w:t>πιδόσεις</w:t>
      </w:r>
      <w:r w:rsidRPr="002B4535">
        <w:rPr>
          <w:bCs/>
          <w:sz w:val="22"/>
        </w:rPr>
        <w:t xml:space="preserve"> στους δείκτες οικονομικής συγκ</w:t>
      </w:r>
      <w:r w:rsidRPr="002B4535">
        <w:rPr>
          <w:bCs/>
          <w:sz w:val="22"/>
        </w:rPr>
        <w:t>υ</w:t>
      </w:r>
      <w:r w:rsidRPr="002B4535">
        <w:rPr>
          <w:bCs/>
          <w:sz w:val="22"/>
        </w:rPr>
        <w:t>ρίας στη ζώνη του ευρώ σε σχέση με τις προβλέψεις του καλοκαιριού και στην επιβράδυνση της π</w:t>
      </w:r>
      <w:r w:rsidRPr="002B4535">
        <w:rPr>
          <w:bCs/>
          <w:sz w:val="22"/>
        </w:rPr>
        <w:t>ο</w:t>
      </w:r>
      <w:r w:rsidRPr="002B4535">
        <w:rPr>
          <w:bCs/>
          <w:sz w:val="22"/>
        </w:rPr>
        <w:t>ρείας της παγκόσμιας οικονομίας. Επίσης, πρωτίστως η διατήρηση των εντάσεων στο εμπόριο και δευτερευόντως η υποχώρηση στον βιομηχανικό τομέα και ειδικότερα στον κλάδο της αυτοκινητοβι</w:t>
      </w:r>
      <w:r w:rsidRPr="002B4535">
        <w:rPr>
          <w:bCs/>
          <w:sz w:val="22"/>
        </w:rPr>
        <w:t>ο</w:t>
      </w:r>
      <w:r w:rsidRPr="002B4535">
        <w:rPr>
          <w:bCs/>
          <w:sz w:val="22"/>
        </w:rPr>
        <w:t>μηχανίας στη Γερμανία η οποία διαχέεται και σε άλλους τομείς της οικονομίας, όπως στον τομέα των υπηρεσιών και στις αγορές εργασίας, έχουν επιβραδυντική επίπτωση στην πορεία της οικονομικής δραστηριότητας στη ζώνη του ευρώ</w:t>
      </w:r>
      <w:r w:rsidRPr="002B4535">
        <w:rPr>
          <w:bCs/>
          <w:sz w:val="22"/>
          <w:vertAlign w:val="superscript"/>
        </w:rPr>
        <w:footnoteReference w:id="3"/>
      </w:r>
      <w:r w:rsidRPr="002B4535">
        <w:rPr>
          <w:bCs/>
          <w:sz w:val="22"/>
        </w:rPr>
        <w:t>. Επιπλέον, η δημογραφική γήρανση, η χαμηλή συνολική παρ</w:t>
      </w:r>
      <w:r w:rsidRPr="002B4535">
        <w:rPr>
          <w:bCs/>
          <w:sz w:val="22"/>
        </w:rPr>
        <w:t>α</w:t>
      </w:r>
      <w:r w:rsidRPr="002B4535">
        <w:rPr>
          <w:bCs/>
          <w:sz w:val="22"/>
        </w:rPr>
        <w:t xml:space="preserve">γωγικότητα, η υποχώρηση της παγκόσμιας ζήτησης, η </w:t>
      </w:r>
      <w:r w:rsidR="00490C3E">
        <w:rPr>
          <w:bCs/>
          <w:sz w:val="22"/>
        </w:rPr>
        <w:t xml:space="preserve">πάντως μικρότερη σήμερα </w:t>
      </w:r>
      <w:r w:rsidRPr="002B4535">
        <w:rPr>
          <w:bCs/>
          <w:sz w:val="22"/>
        </w:rPr>
        <w:t>αβεβαιότητα σε σχέση με το Brexit και η κλιμάκωση των μεταναστευτικών ροών αποτελούν τροχοπέδη στην οικον</w:t>
      </w:r>
      <w:r w:rsidRPr="002B4535">
        <w:rPr>
          <w:bCs/>
          <w:sz w:val="22"/>
        </w:rPr>
        <w:t>ο</w:t>
      </w:r>
      <w:r w:rsidRPr="002B4535">
        <w:rPr>
          <w:bCs/>
          <w:sz w:val="22"/>
        </w:rPr>
        <w:t>μική ανάπτυξη της ζώνης του ευρώ.</w:t>
      </w:r>
    </w:p>
    <w:p w:rsidR="002B4535" w:rsidRPr="002B4535" w:rsidRDefault="002B4535" w:rsidP="00B67AAE">
      <w:pPr>
        <w:pStyle w:val="10"/>
        <w:jc w:val="both"/>
        <w:rPr>
          <w:bCs/>
          <w:sz w:val="22"/>
        </w:rPr>
      </w:pPr>
    </w:p>
    <w:p w:rsidR="002B4535" w:rsidRPr="002B4535" w:rsidRDefault="002B4535" w:rsidP="00B67AAE">
      <w:pPr>
        <w:pStyle w:val="10"/>
        <w:jc w:val="both"/>
        <w:rPr>
          <w:bCs/>
          <w:sz w:val="22"/>
        </w:rPr>
      </w:pPr>
      <w:r w:rsidRPr="002B4535">
        <w:rPr>
          <w:sz w:val="22"/>
        </w:rPr>
        <w:t xml:space="preserve">Στις αναδυόμενες και αναπτυσσόμενες οικονομίες, σύμφωνα με τα στοιχεία της έκθεσης του ΔΝΤ, η ανάπτυξη αναμένεται να διαμορφωθεί στο 3,9% και 4,6% το 2019 και 2020, χαμηλότερη κατά 0,2% και 0,1% αντίστοιχα, συγκριτικά με τα στοιχεία της έκθεσης του Ιουλίου. </w:t>
      </w:r>
      <w:r w:rsidRPr="002B4535">
        <w:rPr>
          <w:bCs/>
          <w:sz w:val="22"/>
        </w:rPr>
        <w:t xml:space="preserve">Η εξέλιξη αυτή αντανακλά </w:t>
      </w:r>
      <w:r w:rsidRPr="002B4535">
        <w:rPr>
          <w:bCs/>
          <w:sz w:val="22"/>
        </w:rPr>
        <w:lastRenderedPageBreak/>
        <w:t>κυρίως μια λιγότερο δυναμική ανάκαμψη σε ορισμένες αναδυόμενες οικονομίες από ό,τι αναμενόταν προηγουμένως.</w:t>
      </w:r>
    </w:p>
    <w:p w:rsidR="002B4535" w:rsidRPr="002B4535" w:rsidRDefault="002B4535" w:rsidP="00B67AAE">
      <w:pPr>
        <w:pStyle w:val="10"/>
        <w:jc w:val="both"/>
        <w:rPr>
          <w:sz w:val="22"/>
        </w:rPr>
      </w:pPr>
    </w:p>
    <w:p w:rsidR="002B4535" w:rsidRPr="002B4535" w:rsidRDefault="002B4535" w:rsidP="00B67AAE">
      <w:pPr>
        <w:pStyle w:val="10"/>
        <w:jc w:val="both"/>
        <w:rPr>
          <w:sz w:val="22"/>
        </w:rPr>
      </w:pPr>
      <w:r w:rsidRPr="002B4535">
        <w:rPr>
          <w:sz w:val="22"/>
        </w:rPr>
        <w:t xml:space="preserve">Η ανάπτυξη της Κίνας αναμένεται να διαμορφωθεί σε 6,1% το 2019 και 5,8% το 2020, έναντι 6,6% </w:t>
      </w:r>
      <w:r w:rsidRPr="002B4535">
        <w:rPr>
          <w:bCs/>
          <w:sz w:val="22"/>
        </w:rPr>
        <w:t>το</w:t>
      </w:r>
      <w:r w:rsidRPr="002B4535">
        <w:rPr>
          <w:sz w:val="22"/>
        </w:rPr>
        <w:t xml:space="preserve"> 2018, χαμηλότερη κατά 0,1% και 0,2% για το 2019 και 2020 αντίστοιχα, συγκριτικά με τα στοιχεία της προηγούμενης έκθεσης του Ιουλίου του ΔΝΤ. Την επιβράδυνση της οικονομίας της Κίνας επ</w:t>
      </w:r>
      <w:r w:rsidRPr="002B4535">
        <w:rPr>
          <w:sz w:val="22"/>
        </w:rPr>
        <w:t>η</w:t>
      </w:r>
      <w:r w:rsidRPr="002B4535">
        <w:rPr>
          <w:sz w:val="22"/>
        </w:rPr>
        <w:t>ρεάζουν οι επιπτώσεις των περιορισμών στο διμερές εμπόριό της, οι πιέσεις που ασκεί η λήξη των δημοσιονομικών κινήτρων</w:t>
      </w:r>
      <w:r w:rsidR="00FF69F1">
        <w:rPr>
          <w:sz w:val="22"/>
        </w:rPr>
        <w:t xml:space="preserve"> (πολιτικές που θεσπίστηκαν από την κυβέρνηση με σκοπό την αύξηση της οικονομικής δραστηριότητας, όπως η μείωση της φορολογίας)</w:t>
      </w:r>
      <w:r w:rsidRPr="002B4535">
        <w:rPr>
          <w:sz w:val="22"/>
        </w:rPr>
        <w:t>, το υψηλό χρέος και οι δημογραφικοί παράγοντες.</w:t>
      </w:r>
    </w:p>
    <w:p w:rsidR="002B4535" w:rsidRPr="002B4535" w:rsidRDefault="002B4535" w:rsidP="00B67AAE">
      <w:pPr>
        <w:pStyle w:val="10"/>
        <w:jc w:val="both"/>
        <w:rPr>
          <w:sz w:val="22"/>
        </w:rPr>
      </w:pPr>
    </w:p>
    <w:p w:rsidR="002B4535" w:rsidRPr="002B4535" w:rsidRDefault="002B4535" w:rsidP="00B67AAE">
      <w:pPr>
        <w:pStyle w:val="10"/>
        <w:jc w:val="both"/>
        <w:rPr>
          <w:sz w:val="22"/>
        </w:rPr>
      </w:pPr>
      <w:r w:rsidRPr="002B4535">
        <w:rPr>
          <w:sz w:val="22"/>
        </w:rPr>
        <w:t>Ο πληθωρισμός στις αναπτυγμένες οικονομίες αναμένεται να διαμορφωθεί σε 1,5% και 1,8% για το 2019 και 2020 αντίστοιχα, έναντι 2,0% το 2018. Για τις αναδυόμενες αγορές και τις αναπτυσσόμενες οικονομίες εκτιμάται σε 4,7% και 4,8% για τα έτη 2019 και 2020 αντίστοιχα, έναντι 4,8% το 2018. Σύμφωνα με την Ευρωπαϊκή Επιτροπή, η μέση τιμή του αργού πετρελαίου ανήλθε στα 71,5 δολάρια το βαρέλι το 2018. Για το 2019 προβλέπεται μέση τιμή του αργού πετρελαίου στα 63,3 δολάρια το βαρέλι και για το 2020 στα 57,4 δολάρια το βαρέλι. Οι εκτιμήσεις για τη μέση τιμή πετρελαίου το 2019 και 2020 καταγράφονται χαμηλότερες συγκριτικά με τις προηγούμενες εκθέσεις της Ευρωπα</w:t>
      </w:r>
      <w:r w:rsidRPr="002B4535">
        <w:rPr>
          <w:sz w:val="22"/>
        </w:rPr>
        <w:t>ϊ</w:t>
      </w:r>
      <w:r w:rsidRPr="002B4535">
        <w:rPr>
          <w:sz w:val="22"/>
        </w:rPr>
        <w:t xml:space="preserve">κής Επιτροπής. </w:t>
      </w:r>
    </w:p>
    <w:p w:rsidR="002B4535" w:rsidRPr="002B4535" w:rsidRDefault="002B4535" w:rsidP="00B67AAE">
      <w:pPr>
        <w:pStyle w:val="10"/>
        <w:jc w:val="both"/>
        <w:rPr>
          <w:sz w:val="22"/>
        </w:rPr>
      </w:pPr>
    </w:p>
    <w:p w:rsidR="002B4535" w:rsidRPr="002B4535" w:rsidRDefault="002B4535" w:rsidP="00B67AAE">
      <w:pPr>
        <w:pStyle w:val="10"/>
        <w:jc w:val="both"/>
        <w:rPr>
          <w:sz w:val="22"/>
        </w:rPr>
      </w:pPr>
      <w:r w:rsidRPr="002B4535">
        <w:rPr>
          <w:sz w:val="22"/>
        </w:rPr>
        <w:t>Το παγκόσμιο εμπόριο, έπειτα από υποχώρηση σε 1,1% το 2019 από 3,6% το 2018, αναμένεται να ανακάμψει σε 3,2% το 2020, σύμφωνα με τα στοιχεία της έκθεσης Οκτωβρίου 2019 του ΔΝΤ, ωστ</w:t>
      </w:r>
      <w:r w:rsidRPr="002B4535">
        <w:rPr>
          <w:sz w:val="22"/>
        </w:rPr>
        <w:t>ό</w:t>
      </w:r>
      <w:r w:rsidRPr="002B4535">
        <w:rPr>
          <w:sz w:val="22"/>
        </w:rPr>
        <w:t>σο ο ρυθμός παραμένει χαμηλότερος από την οικονομική δραστηριότητα. Ειδικότερα, για τις προη</w:t>
      </w:r>
      <w:r w:rsidRPr="002B4535">
        <w:rPr>
          <w:sz w:val="22"/>
        </w:rPr>
        <w:t>γ</w:t>
      </w:r>
      <w:r w:rsidRPr="002B4535">
        <w:rPr>
          <w:sz w:val="22"/>
        </w:rPr>
        <w:t>μένες οικονομίες προβλέπεται ότι ο ρυθμός μεταβολής των εισαγωγών θα διαμορφωθεί σε 1,2% και 2,7% για το 2019 και 2020 αντίστοιχα, έναντι 3,0% το 2018 και για τις αναδυόμενες αγορές και αν</w:t>
      </w:r>
      <w:r w:rsidRPr="002B4535">
        <w:rPr>
          <w:sz w:val="22"/>
        </w:rPr>
        <w:t>α</w:t>
      </w:r>
      <w:r w:rsidRPr="002B4535">
        <w:rPr>
          <w:sz w:val="22"/>
        </w:rPr>
        <w:t>πτυσσόμενες οικονομίες εκτιμάται ότι θα διαμορφωθεί σε 0,7% και 4,3% το 2019 και 2020 αντίστο</w:t>
      </w:r>
      <w:r w:rsidRPr="002B4535">
        <w:rPr>
          <w:sz w:val="22"/>
        </w:rPr>
        <w:t>ι</w:t>
      </w:r>
      <w:r w:rsidRPr="002B4535">
        <w:rPr>
          <w:sz w:val="22"/>
        </w:rPr>
        <w:t>χα, έναντι 5,1% το 2018. Ο ρυθμός μεταβολής των εξαγωγών στις αναπτυγμένες οικονομίες αναμέν</w:t>
      </w:r>
      <w:r w:rsidRPr="002B4535">
        <w:rPr>
          <w:sz w:val="22"/>
        </w:rPr>
        <w:t>ε</w:t>
      </w:r>
      <w:r w:rsidRPr="002B4535">
        <w:rPr>
          <w:sz w:val="22"/>
        </w:rPr>
        <w:t>ται να διαμορφωθεί σε 0,9% και 2,5% το 2019 και 2020, αντίστοιχα, έναντι 3,1% το 2018. Στις αν</w:t>
      </w:r>
      <w:r w:rsidRPr="002B4535">
        <w:rPr>
          <w:sz w:val="22"/>
        </w:rPr>
        <w:t>α</w:t>
      </w:r>
      <w:r w:rsidRPr="002B4535">
        <w:rPr>
          <w:sz w:val="22"/>
        </w:rPr>
        <w:t xml:space="preserve">δυόμενες αγορές και αναπτυσσόμενες οικονομίες ο ρυθμός μεταβολής των εξαγωγών εκτιμάται ότι θα διαμορφωθεί σε 1,9% για το 2019 και θα επιταχυνθεί σε 4,1% το 2020, από 3,9% το 2018. </w:t>
      </w:r>
    </w:p>
    <w:p w:rsidR="002B4535" w:rsidRPr="00B67AAE" w:rsidRDefault="002B4535" w:rsidP="002B4535">
      <w:pPr>
        <w:pStyle w:val="10"/>
        <w:rPr>
          <w:b/>
          <w:sz w:val="22"/>
        </w:rPr>
      </w:pPr>
    </w:p>
    <w:tbl>
      <w:tblPr>
        <w:tblStyle w:val="ae"/>
        <w:tblW w:w="5000" w:type="pct"/>
        <w:tblLook w:val="04A0"/>
      </w:tblPr>
      <w:tblGrid>
        <w:gridCol w:w="5127"/>
        <w:gridCol w:w="1417"/>
        <w:gridCol w:w="1417"/>
        <w:gridCol w:w="1326"/>
      </w:tblGrid>
      <w:tr w:rsidR="002B4535" w:rsidRPr="00BB6683" w:rsidTr="00B970E9">
        <w:tc>
          <w:tcPr>
            <w:tcW w:w="5000" w:type="pct"/>
            <w:gridSpan w:val="4"/>
            <w:tcBorders>
              <w:top w:val="single" w:sz="4" w:space="0" w:color="auto"/>
              <w:left w:val="single" w:sz="4" w:space="0" w:color="auto"/>
              <w:bottom w:val="single" w:sz="4" w:space="0" w:color="auto"/>
              <w:right w:val="single" w:sz="4" w:space="0" w:color="auto"/>
            </w:tcBorders>
            <w:shd w:val="clear" w:color="auto" w:fill="595959" w:themeFill="text1" w:themeFillTint="A6"/>
          </w:tcPr>
          <w:p w:rsidR="002B4535" w:rsidRDefault="002B4535" w:rsidP="00B970E9">
            <w:pPr>
              <w:pStyle w:val="10"/>
              <w:spacing w:before="120"/>
              <w:jc w:val="center"/>
            </w:pPr>
            <w:r w:rsidRPr="0006551E">
              <w:rPr>
                <w:rFonts w:ascii="Arial Narrow" w:eastAsia="Arial Narrow" w:hAnsi="Arial Narrow" w:cs="Arial Narrow"/>
                <w:b/>
                <w:color w:val="FFFFFF"/>
              </w:rPr>
              <w:t>Πίνακας 1.1 Βασικά μεγέθη της παγκόσμιας οικονομίας</w:t>
            </w:r>
          </w:p>
          <w:p w:rsidR="002B4535" w:rsidRPr="001D72FB" w:rsidRDefault="002B4535" w:rsidP="00B970E9">
            <w:pPr>
              <w:spacing w:after="120"/>
              <w:jc w:val="center"/>
              <w:rPr>
                <w:b/>
                <w:lang w:val="en-US"/>
              </w:rPr>
            </w:pPr>
            <w:r w:rsidRPr="0006551E">
              <w:rPr>
                <w:rFonts w:ascii="Arial Narrow" w:eastAsia="Arial Narrow" w:hAnsi="Arial Narrow" w:cs="Arial Narrow"/>
                <w:b/>
                <w:color w:val="FFFFFF"/>
              </w:rPr>
              <w:t>(% ετήσιες μεταβολές, σταθερές τιμές)</w:t>
            </w:r>
          </w:p>
        </w:tc>
      </w:tr>
      <w:tr w:rsidR="002B4535" w:rsidRPr="00BB6683" w:rsidTr="00B970E9">
        <w:trPr>
          <w:trHeight w:val="22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B4535" w:rsidRDefault="002B4535" w:rsidP="00B970E9">
            <w:pPr>
              <w:pStyle w:val="10"/>
              <w:jc w:val="center"/>
              <w:rPr>
                <w:rFonts w:ascii="Arial Narrow" w:eastAsia="Arial Narrow" w:hAnsi="Arial Narrow" w:cs="Arial Narrow"/>
                <w:b/>
                <w:color w:val="FFFFFF"/>
              </w:rPr>
            </w:pPr>
          </w:p>
        </w:tc>
      </w:tr>
      <w:tr w:rsidR="002B4535" w:rsidRPr="00BB6683" w:rsidTr="00B970E9">
        <w:tc>
          <w:tcPr>
            <w:tcW w:w="2760" w:type="pct"/>
            <w:tcBorders>
              <w:top w:val="single" w:sz="4" w:space="0" w:color="auto"/>
              <w:left w:val="single" w:sz="4" w:space="0" w:color="auto"/>
              <w:bottom w:val="single" w:sz="4" w:space="0" w:color="auto"/>
              <w:right w:val="single" w:sz="4" w:space="0" w:color="auto"/>
            </w:tcBorders>
            <w:shd w:val="clear" w:color="auto" w:fill="auto"/>
          </w:tcPr>
          <w:p w:rsidR="002B4535" w:rsidRPr="009D74E9" w:rsidRDefault="002B4535" w:rsidP="00B970E9">
            <w:pPr>
              <w:spacing w:before="80" w:after="80"/>
              <w:jc w:val="center"/>
              <w:rPr>
                <w:rFonts w:ascii="Arial Narrow" w:hAnsi="Arial Narrow"/>
                <w:b/>
                <w:sz w:val="16"/>
                <w:szCs w:val="16"/>
              </w:rPr>
            </w:pP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2B4535" w:rsidRPr="009D74E9" w:rsidRDefault="002B4535" w:rsidP="00B970E9">
            <w:pPr>
              <w:spacing w:before="80" w:after="80"/>
              <w:jc w:val="center"/>
              <w:rPr>
                <w:rFonts w:ascii="Arial Narrow" w:hAnsi="Arial Narrow"/>
                <w:b/>
                <w:sz w:val="16"/>
                <w:szCs w:val="16"/>
              </w:rPr>
            </w:pPr>
            <w:r w:rsidRPr="009D74E9">
              <w:rPr>
                <w:rFonts w:ascii="Arial Narrow" w:hAnsi="Arial Narrow"/>
                <w:b/>
                <w:sz w:val="16"/>
                <w:szCs w:val="16"/>
              </w:rPr>
              <w:t>201</w:t>
            </w:r>
            <w:r w:rsidR="00490C3E">
              <w:rPr>
                <w:rFonts w:ascii="Arial Narrow" w:hAnsi="Arial Narrow"/>
                <w:b/>
                <w:sz w:val="16"/>
                <w:szCs w:val="16"/>
              </w:rPr>
              <w:t>8</w:t>
            </w:r>
          </w:p>
        </w:tc>
        <w:tc>
          <w:tcPr>
            <w:tcW w:w="763" w:type="pct"/>
            <w:tcBorders>
              <w:top w:val="single" w:sz="4" w:space="0" w:color="auto"/>
              <w:left w:val="single" w:sz="4" w:space="0" w:color="auto"/>
              <w:bottom w:val="single" w:sz="4" w:space="0" w:color="auto"/>
              <w:right w:val="single" w:sz="4" w:space="0" w:color="auto"/>
            </w:tcBorders>
            <w:shd w:val="clear" w:color="auto" w:fill="auto"/>
          </w:tcPr>
          <w:p w:rsidR="002B4535" w:rsidRPr="009D74E9" w:rsidRDefault="00490C3E" w:rsidP="00B970E9">
            <w:pPr>
              <w:spacing w:before="80" w:after="80"/>
              <w:jc w:val="center"/>
              <w:rPr>
                <w:rFonts w:ascii="Arial Narrow" w:hAnsi="Arial Narrow"/>
                <w:b/>
                <w:sz w:val="16"/>
                <w:szCs w:val="16"/>
              </w:rPr>
            </w:pPr>
            <w:r>
              <w:rPr>
                <w:rFonts w:ascii="Arial Narrow" w:hAnsi="Arial Narrow"/>
                <w:b/>
                <w:sz w:val="16"/>
                <w:szCs w:val="16"/>
              </w:rPr>
              <w:t>2019</w:t>
            </w:r>
            <w:r w:rsidR="002B4535" w:rsidRPr="009D74E9">
              <w:rPr>
                <w:rFonts w:ascii="Arial Narrow" w:hAnsi="Arial Narrow"/>
                <w:b/>
                <w:sz w:val="16"/>
                <w:szCs w:val="16"/>
              </w:rPr>
              <w:t>*</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B4535" w:rsidRPr="009D74E9" w:rsidRDefault="002B4535" w:rsidP="00490C3E">
            <w:pPr>
              <w:spacing w:before="80" w:after="80"/>
              <w:jc w:val="center"/>
              <w:rPr>
                <w:rFonts w:ascii="Arial Narrow" w:hAnsi="Arial Narrow"/>
                <w:b/>
                <w:sz w:val="16"/>
                <w:szCs w:val="16"/>
              </w:rPr>
            </w:pPr>
            <w:r w:rsidRPr="009D74E9">
              <w:rPr>
                <w:rFonts w:ascii="Arial Narrow" w:hAnsi="Arial Narrow"/>
                <w:b/>
                <w:sz w:val="16"/>
                <w:szCs w:val="16"/>
              </w:rPr>
              <w:t>20</w:t>
            </w:r>
            <w:r w:rsidR="00490C3E">
              <w:rPr>
                <w:rFonts w:ascii="Arial Narrow" w:hAnsi="Arial Narrow"/>
                <w:b/>
                <w:sz w:val="16"/>
                <w:szCs w:val="16"/>
              </w:rPr>
              <w:t>20</w:t>
            </w:r>
            <w:r w:rsidRPr="009D74E9">
              <w:rPr>
                <w:rFonts w:ascii="Arial Narrow" w:hAnsi="Arial Narrow"/>
                <w:b/>
                <w:sz w:val="16"/>
                <w:szCs w:val="16"/>
              </w:rPr>
              <w:t>*</w:t>
            </w:r>
          </w:p>
        </w:tc>
      </w:tr>
      <w:tr w:rsidR="002B4535" w:rsidRPr="00BB6683" w:rsidTr="00B970E9">
        <w:tc>
          <w:tcPr>
            <w:tcW w:w="2760" w:type="pct"/>
            <w:tcBorders>
              <w:top w:val="single" w:sz="4" w:space="0" w:color="auto"/>
              <w:left w:val="single" w:sz="4" w:space="0" w:color="auto"/>
              <w:bottom w:val="nil"/>
              <w:right w:val="nil"/>
            </w:tcBorders>
            <w:shd w:val="clear" w:color="auto" w:fill="D9D9D9" w:themeFill="background1" w:themeFillShade="D9"/>
          </w:tcPr>
          <w:p w:rsidR="002B4535" w:rsidRPr="009D74E9" w:rsidRDefault="002B4535" w:rsidP="00B970E9">
            <w:pPr>
              <w:jc w:val="both"/>
              <w:rPr>
                <w:rFonts w:ascii="Arial Narrow" w:hAnsi="Arial Narrow"/>
                <w:sz w:val="16"/>
                <w:szCs w:val="16"/>
              </w:rPr>
            </w:pPr>
            <w:r w:rsidRPr="009D74E9">
              <w:rPr>
                <w:rFonts w:ascii="Arial Narrow" w:hAnsi="Arial Narrow"/>
                <w:sz w:val="16"/>
                <w:szCs w:val="16"/>
              </w:rPr>
              <w:t>Παγκόσμιο</w:t>
            </w:r>
            <w:r>
              <w:rPr>
                <w:rFonts w:ascii="Arial Narrow" w:hAnsi="Arial Narrow"/>
                <w:sz w:val="16"/>
                <w:szCs w:val="16"/>
              </w:rPr>
              <w:t xml:space="preserve"> </w:t>
            </w:r>
            <w:r w:rsidRPr="009D74E9">
              <w:rPr>
                <w:rFonts w:ascii="Arial Narrow" w:hAnsi="Arial Narrow"/>
                <w:sz w:val="16"/>
                <w:szCs w:val="16"/>
              </w:rPr>
              <w:t>ΑΕΠ</w:t>
            </w:r>
          </w:p>
        </w:tc>
        <w:tc>
          <w:tcPr>
            <w:tcW w:w="763" w:type="pct"/>
            <w:tcBorders>
              <w:top w:val="single" w:sz="4" w:space="0" w:color="auto"/>
              <w:left w:val="nil"/>
              <w:bottom w:val="nil"/>
              <w:right w:val="nil"/>
            </w:tcBorders>
            <w:shd w:val="clear" w:color="auto" w:fill="D9D9D9" w:themeFill="background1" w:themeFillShade="D9"/>
          </w:tcPr>
          <w:p w:rsidR="002B4535" w:rsidRPr="009D74E9" w:rsidRDefault="002B4535" w:rsidP="00490C3E">
            <w:pPr>
              <w:tabs>
                <w:tab w:val="decimal" w:pos="573"/>
              </w:tabs>
              <w:jc w:val="both"/>
              <w:rPr>
                <w:rFonts w:ascii="Arial Narrow" w:hAnsi="Arial Narrow"/>
                <w:sz w:val="16"/>
                <w:szCs w:val="16"/>
              </w:rPr>
            </w:pPr>
            <w:r w:rsidRPr="009D74E9">
              <w:rPr>
                <w:rFonts w:ascii="Arial Narrow" w:hAnsi="Arial Narrow"/>
                <w:sz w:val="16"/>
                <w:szCs w:val="16"/>
              </w:rPr>
              <w:t>3,</w:t>
            </w:r>
            <w:r w:rsidR="00490C3E">
              <w:rPr>
                <w:rFonts w:ascii="Arial Narrow" w:hAnsi="Arial Narrow"/>
                <w:sz w:val="16"/>
                <w:szCs w:val="16"/>
              </w:rPr>
              <w:t>6</w:t>
            </w:r>
          </w:p>
        </w:tc>
        <w:tc>
          <w:tcPr>
            <w:tcW w:w="763" w:type="pct"/>
            <w:tcBorders>
              <w:top w:val="single" w:sz="4" w:space="0" w:color="auto"/>
              <w:left w:val="nil"/>
              <w:bottom w:val="nil"/>
              <w:right w:val="nil"/>
            </w:tcBorders>
            <w:shd w:val="clear" w:color="auto" w:fill="D9D9D9" w:themeFill="background1" w:themeFillShade="D9"/>
          </w:tcPr>
          <w:p w:rsidR="002B4535" w:rsidRPr="009D74E9" w:rsidRDefault="002B4535" w:rsidP="00490C3E">
            <w:pPr>
              <w:tabs>
                <w:tab w:val="decimal" w:pos="559"/>
              </w:tabs>
              <w:jc w:val="both"/>
              <w:rPr>
                <w:rFonts w:ascii="Arial Narrow" w:hAnsi="Arial Narrow"/>
                <w:sz w:val="16"/>
                <w:szCs w:val="16"/>
              </w:rPr>
            </w:pPr>
            <w:r w:rsidRPr="009D74E9">
              <w:rPr>
                <w:rFonts w:ascii="Arial Narrow" w:hAnsi="Arial Narrow"/>
                <w:sz w:val="16"/>
                <w:szCs w:val="16"/>
              </w:rPr>
              <w:t>3,</w:t>
            </w:r>
            <w:r w:rsidR="00490C3E">
              <w:rPr>
                <w:rFonts w:ascii="Arial Narrow" w:hAnsi="Arial Narrow"/>
                <w:sz w:val="16"/>
                <w:szCs w:val="16"/>
              </w:rPr>
              <w:t>0</w:t>
            </w:r>
          </w:p>
        </w:tc>
        <w:tc>
          <w:tcPr>
            <w:tcW w:w="714" w:type="pct"/>
            <w:tcBorders>
              <w:top w:val="single" w:sz="4" w:space="0" w:color="auto"/>
              <w:left w:val="nil"/>
              <w:bottom w:val="nil"/>
              <w:right w:val="single" w:sz="4" w:space="0" w:color="auto"/>
            </w:tcBorders>
            <w:shd w:val="clear" w:color="auto" w:fill="D9D9D9" w:themeFill="background1" w:themeFillShade="D9"/>
          </w:tcPr>
          <w:p w:rsidR="002B4535" w:rsidRPr="009D74E9" w:rsidRDefault="002B4535" w:rsidP="00490C3E">
            <w:pPr>
              <w:tabs>
                <w:tab w:val="decimal" w:pos="505"/>
              </w:tabs>
              <w:jc w:val="both"/>
              <w:rPr>
                <w:rFonts w:ascii="Arial Narrow" w:hAnsi="Arial Narrow"/>
                <w:sz w:val="16"/>
                <w:szCs w:val="16"/>
              </w:rPr>
            </w:pPr>
            <w:r w:rsidRPr="009D74E9">
              <w:rPr>
                <w:rFonts w:ascii="Arial Narrow" w:hAnsi="Arial Narrow"/>
                <w:sz w:val="16"/>
                <w:szCs w:val="16"/>
              </w:rPr>
              <w:t>3,</w:t>
            </w:r>
            <w:r w:rsidR="00490C3E">
              <w:rPr>
                <w:rFonts w:ascii="Arial Narrow" w:hAnsi="Arial Narrow"/>
                <w:sz w:val="16"/>
                <w:szCs w:val="16"/>
              </w:rPr>
              <w:t>4</w:t>
            </w:r>
          </w:p>
        </w:tc>
      </w:tr>
      <w:tr w:rsidR="002B4535" w:rsidRPr="00BB6683" w:rsidTr="00B970E9">
        <w:tc>
          <w:tcPr>
            <w:tcW w:w="2760" w:type="pct"/>
            <w:tcBorders>
              <w:top w:val="nil"/>
              <w:left w:val="single" w:sz="4" w:space="0" w:color="auto"/>
              <w:bottom w:val="nil"/>
              <w:right w:val="nil"/>
            </w:tcBorders>
            <w:shd w:val="clear" w:color="auto" w:fill="auto"/>
          </w:tcPr>
          <w:p w:rsidR="002B4535" w:rsidRPr="009D74E9" w:rsidRDefault="002B4535" w:rsidP="002B4535">
            <w:pPr>
              <w:jc w:val="both"/>
              <w:rPr>
                <w:rFonts w:ascii="Arial Narrow" w:hAnsi="Arial Narrow"/>
                <w:sz w:val="16"/>
                <w:szCs w:val="16"/>
              </w:rPr>
            </w:pPr>
            <w:r w:rsidRPr="009D74E9">
              <w:rPr>
                <w:rFonts w:ascii="Arial Narrow" w:hAnsi="Arial Narrow"/>
                <w:sz w:val="16"/>
                <w:szCs w:val="16"/>
              </w:rPr>
              <w:t>ΑΕΠ ΕΕ**</w:t>
            </w:r>
          </w:p>
        </w:tc>
        <w:tc>
          <w:tcPr>
            <w:tcW w:w="763" w:type="pct"/>
            <w:tcBorders>
              <w:top w:val="nil"/>
              <w:left w:val="nil"/>
              <w:bottom w:val="nil"/>
              <w:right w:val="nil"/>
            </w:tcBorders>
            <w:shd w:val="clear" w:color="auto" w:fill="auto"/>
          </w:tcPr>
          <w:p w:rsidR="002B4535" w:rsidRPr="009D74E9" w:rsidRDefault="002B4535" w:rsidP="00490C3E">
            <w:pPr>
              <w:tabs>
                <w:tab w:val="decimal" w:pos="573"/>
              </w:tabs>
              <w:jc w:val="both"/>
              <w:rPr>
                <w:rFonts w:ascii="Arial Narrow" w:hAnsi="Arial Narrow"/>
                <w:sz w:val="16"/>
                <w:szCs w:val="16"/>
              </w:rPr>
            </w:pPr>
            <w:r w:rsidRPr="009D74E9">
              <w:rPr>
                <w:rFonts w:ascii="Arial Narrow" w:hAnsi="Arial Narrow"/>
                <w:sz w:val="16"/>
                <w:szCs w:val="16"/>
              </w:rPr>
              <w:t>2,</w:t>
            </w:r>
            <w:r w:rsidR="00490C3E">
              <w:rPr>
                <w:rFonts w:ascii="Arial Narrow" w:hAnsi="Arial Narrow"/>
                <w:sz w:val="16"/>
                <w:szCs w:val="16"/>
              </w:rPr>
              <w:t>0</w:t>
            </w:r>
          </w:p>
        </w:tc>
        <w:tc>
          <w:tcPr>
            <w:tcW w:w="763" w:type="pct"/>
            <w:tcBorders>
              <w:top w:val="nil"/>
              <w:left w:val="nil"/>
              <w:bottom w:val="nil"/>
              <w:right w:val="nil"/>
            </w:tcBorders>
            <w:shd w:val="clear" w:color="auto" w:fill="auto"/>
          </w:tcPr>
          <w:p w:rsidR="002B4535" w:rsidRPr="009D74E9" w:rsidRDefault="00490C3E" w:rsidP="00490C3E">
            <w:pPr>
              <w:tabs>
                <w:tab w:val="decimal" w:pos="559"/>
              </w:tabs>
              <w:jc w:val="both"/>
              <w:rPr>
                <w:rFonts w:ascii="Arial Narrow" w:hAnsi="Arial Narrow"/>
                <w:sz w:val="16"/>
                <w:szCs w:val="16"/>
              </w:rPr>
            </w:pPr>
            <w:r>
              <w:rPr>
                <w:rFonts w:ascii="Arial Narrow" w:hAnsi="Arial Narrow"/>
                <w:sz w:val="16"/>
                <w:szCs w:val="16"/>
              </w:rPr>
              <w:t>1,4</w:t>
            </w:r>
          </w:p>
        </w:tc>
        <w:tc>
          <w:tcPr>
            <w:tcW w:w="714" w:type="pct"/>
            <w:tcBorders>
              <w:top w:val="nil"/>
              <w:left w:val="nil"/>
              <w:bottom w:val="nil"/>
              <w:right w:val="single" w:sz="4" w:space="0" w:color="auto"/>
            </w:tcBorders>
            <w:shd w:val="clear" w:color="auto" w:fill="auto"/>
          </w:tcPr>
          <w:p w:rsidR="002B4535" w:rsidRPr="009D74E9" w:rsidRDefault="00490C3E" w:rsidP="00490C3E">
            <w:pPr>
              <w:tabs>
                <w:tab w:val="decimal" w:pos="505"/>
              </w:tabs>
              <w:jc w:val="both"/>
              <w:rPr>
                <w:rFonts w:ascii="Arial Narrow" w:hAnsi="Arial Narrow"/>
                <w:sz w:val="16"/>
                <w:szCs w:val="16"/>
              </w:rPr>
            </w:pPr>
            <w:r>
              <w:rPr>
                <w:rFonts w:ascii="Arial Narrow" w:hAnsi="Arial Narrow"/>
                <w:sz w:val="16"/>
                <w:szCs w:val="16"/>
              </w:rPr>
              <w:t>1,4</w:t>
            </w:r>
          </w:p>
        </w:tc>
      </w:tr>
      <w:tr w:rsidR="002B4535" w:rsidRPr="00BB6683" w:rsidTr="00B970E9">
        <w:tc>
          <w:tcPr>
            <w:tcW w:w="2760" w:type="pct"/>
            <w:tcBorders>
              <w:top w:val="nil"/>
              <w:left w:val="single" w:sz="4" w:space="0" w:color="auto"/>
              <w:bottom w:val="nil"/>
              <w:right w:val="nil"/>
            </w:tcBorders>
            <w:shd w:val="clear" w:color="auto" w:fill="D9D9D9" w:themeFill="background1" w:themeFillShade="D9"/>
          </w:tcPr>
          <w:p w:rsidR="002B4535" w:rsidRPr="002B4535" w:rsidRDefault="002B4535" w:rsidP="00B970E9">
            <w:pPr>
              <w:jc w:val="both"/>
              <w:rPr>
                <w:rFonts w:ascii="Arial Narrow" w:hAnsi="Arial Narrow"/>
                <w:sz w:val="16"/>
                <w:szCs w:val="16"/>
                <w:lang w:val="en-US"/>
              </w:rPr>
            </w:pPr>
            <w:r w:rsidRPr="009D74E9">
              <w:rPr>
                <w:rFonts w:ascii="Arial Narrow" w:hAnsi="Arial Narrow"/>
                <w:sz w:val="16"/>
                <w:szCs w:val="16"/>
              </w:rPr>
              <w:t>ΑΕΠ Ευρωζώνης</w:t>
            </w:r>
            <w:r>
              <w:rPr>
                <w:rFonts w:ascii="Arial Narrow" w:hAnsi="Arial Narrow"/>
                <w:sz w:val="16"/>
                <w:szCs w:val="16"/>
                <w:lang w:val="en-US"/>
              </w:rPr>
              <w:t>**</w:t>
            </w:r>
          </w:p>
        </w:tc>
        <w:tc>
          <w:tcPr>
            <w:tcW w:w="763" w:type="pct"/>
            <w:tcBorders>
              <w:top w:val="nil"/>
              <w:left w:val="nil"/>
              <w:bottom w:val="nil"/>
              <w:right w:val="nil"/>
            </w:tcBorders>
            <w:shd w:val="clear" w:color="auto" w:fill="D9D9D9" w:themeFill="background1" w:themeFillShade="D9"/>
          </w:tcPr>
          <w:p w:rsidR="002B4535" w:rsidRPr="009D74E9" w:rsidRDefault="00490C3E" w:rsidP="00490C3E">
            <w:pPr>
              <w:tabs>
                <w:tab w:val="decimal" w:pos="573"/>
              </w:tabs>
              <w:jc w:val="both"/>
              <w:rPr>
                <w:rFonts w:ascii="Arial Narrow" w:hAnsi="Arial Narrow"/>
                <w:sz w:val="16"/>
                <w:szCs w:val="16"/>
              </w:rPr>
            </w:pPr>
            <w:r>
              <w:rPr>
                <w:rFonts w:ascii="Arial Narrow" w:hAnsi="Arial Narrow"/>
                <w:sz w:val="16"/>
                <w:szCs w:val="16"/>
              </w:rPr>
              <w:t>1,9</w:t>
            </w:r>
          </w:p>
        </w:tc>
        <w:tc>
          <w:tcPr>
            <w:tcW w:w="763" w:type="pct"/>
            <w:tcBorders>
              <w:top w:val="nil"/>
              <w:left w:val="nil"/>
              <w:bottom w:val="nil"/>
              <w:right w:val="nil"/>
            </w:tcBorders>
            <w:shd w:val="clear" w:color="auto" w:fill="D9D9D9" w:themeFill="background1" w:themeFillShade="D9"/>
          </w:tcPr>
          <w:p w:rsidR="002B4535" w:rsidRPr="009D74E9" w:rsidRDefault="00490C3E" w:rsidP="00490C3E">
            <w:pPr>
              <w:tabs>
                <w:tab w:val="decimal" w:pos="559"/>
              </w:tabs>
              <w:jc w:val="both"/>
              <w:rPr>
                <w:rFonts w:ascii="Arial Narrow" w:hAnsi="Arial Narrow"/>
                <w:sz w:val="16"/>
                <w:szCs w:val="16"/>
              </w:rPr>
            </w:pPr>
            <w:r>
              <w:rPr>
                <w:rFonts w:ascii="Arial Narrow" w:hAnsi="Arial Narrow"/>
                <w:sz w:val="16"/>
                <w:szCs w:val="16"/>
              </w:rPr>
              <w:t>1,1</w:t>
            </w:r>
          </w:p>
        </w:tc>
        <w:tc>
          <w:tcPr>
            <w:tcW w:w="714" w:type="pct"/>
            <w:tcBorders>
              <w:top w:val="nil"/>
              <w:left w:val="nil"/>
              <w:bottom w:val="nil"/>
              <w:right w:val="single" w:sz="4" w:space="0" w:color="auto"/>
            </w:tcBorders>
            <w:shd w:val="clear" w:color="auto" w:fill="D9D9D9" w:themeFill="background1" w:themeFillShade="D9"/>
          </w:tcPr>
          <w:p w:rsidR="002B4535" w:rsidRPr="009D74E9" w:rsidRDefault="002B4535" w:rsidP="00490C3E">
            <w:pPr>
              <w:tabs>
                <w:tab w:val="decimal" w:pos="505"/>
              </w:tabs>
              <w:jc w:val="both"/>
              <w:rPr>
                <w:rFonts w:ascii="Arial Narrow" w:hAnsi="Arial Narrow"/>
                <w:sz w:val="16"/>
                <w:szCs w:val="16"/>
              </w:rPr>
            </w:pPr>
            <w:r w:rsidRPr="009D74E9">
              <w:rPr>
                <w:rFonts w:ascii="Arial Narrow" w:hAnsi="Arial Narrow"/>
                <w:sz w:val="16"/>
                <w:szCs w:val="16"/>
              </w:rPr>
              <w:t>1,</w:t>
            </w:r>
            <w:r w:rsidR="00490C3E">
              <w:rPr>
                <w:rFonts w:ascii="Arial Narrow" w:hAnsi="Arial Narrow"/>
                <w:sz w:val="16"/>
                <w:szCs w:val="16"/>
              </w:rPr>
              <w:t>2</w:t>
            </w:r>
          </w:p>
        </w:tc>
      </w:tr>
      <w:tr w:rsidR="002B4535" w:rsidRPr="00BB6683" w:rsidTr="00B970E9">
        <w:tc>
          <w:tcPr>
            <w:tcW w:w="2760" w:type="pct"/>
            <w:tcBorders>
              <w:top w:val="nil"/>
              <w:left w:val="single" w:sz="4" w:space="0" w:color="auto"/>
              <w:bottom w:val="nil"/>
              <w:right w:val="nil"/>
            </w:tcBorders>
            <w:shd w:val="clear" w:color="auto" w:fill="auto"/>
          </w:tcPr>
          <w:p w:rsidR="002B4535" w:rsidRPr="009D74E9" w:rsidRDefault="002B4535" w:rsidP="00B970E9">
            <w:pPr>
              <w:jc w:val="both"/>
              <w:rPr>
                <w:rFonts w:ascii="Arial Narrow" w:hAnsi="Arial Narrow"/>
                <w:sz w:val="16"/>
                <w:szCs w:val="16"/>
              </w:rPr>
            </w:pPr>
            <w:r w:rsidRPr="009D74E9">
              <w:rPr>
                <w:rFonts w:ascii="Arial Narrow" w:hAnsi="Arial Narrow"/>
                <w:sz w:val="16"/>
                <w:szCs w:val="16"/>
              </w:rPr>
              <w:t>ΑΕΠ ΗΠΑ</w:t>
            </w:r>
          </w:p>
        </w:tc>
        <w:tc>
          <w:tcPr>
            <w:tcW w:w="763" w:type="pct"/>
            <w:tcBorders>
              <w:top w:val="nil"/>
              <w:left w:val="nil"/>
              <w:bottom w:val="nil"/>
              <w:right w:val="nil"/>
            </w:tcBorders>
            <w:shd w:val="clear" w:color="auto" w:fill="auto"/>
          </w:tcPr>
          <w:p w:rsidR="002B4535" w:rsidRPr="009D74E9" w:rsidRDefault="002B4535" w:rsidP="00490C3E">
            <w:pPr>
              <w:tabs>
                <w:tab w:val="decimal" w:pos="573"/>
              </w:tabs>
              <w:jc w:val="both"/>
              <w:rPr>
                <w:rFonts w:ascii="Arial Narrow" w:hAnsi="Arial Narrow"/>
                <w:sz w:val="16"/>
                <w:szCs w:val="16"/>
              </w:rPr>
            </w:pPr>
            <w:r w:rsidRPr="009D74E9">
              <w:rPr>
                <w:rFonts w:ascii="Arial Narrow" w:hAnsi="Arial Narrow"/>
                <w:sz w:val="16"/>
                <w:szCs w:val="16"/>
              </w:rPr>
              <w:t>2,</w:t>
            </w:r>
            <w:r w:rsidR="00490C3E">
              <w:rPr>
                <w:rFonts w:ascii="Arial Narrow" w:hAnsi="Arial Narrow"/>
                <w:sz w:val="16"/>
                <w:szCs w:val="16"/>
              </w:rPr>
              <w:t>9</w:t>
            </w:r>
          </w:p>
        </w:tc>
        <w:tc>
          <w:tcPr>
            <w:tcW w:w="763" w:type="pct"/>
            <w:tcBorders>
              <w:top w:val="nil"/>
              <w:left w:val="nil"/>
              <w:bottom w:val="nil"/>
              <w:right w:val="nil"/>
            </w:tcBorders>
            <w:shd w:val="clear" w:color="auto" w:fill="auto"/>
          </w:tcPr>
          <w:p w:rsidR="002B4535" w:rsidRPr="009D74E9" w:rsidRDefault="002B4535" w:rsidP="00490C3E">
            <w:pPr>
              <w:tabs>
                <w:tab w:val="decimal" w:pos="559"/>
              </w:tabs>
              <w:jc w:val="both"/>
              <w:rPr>
                <w:rFonts w:ascii="Arial Narrow" w:hAnsi="Arial Narrow"/>
                <w:sz w:val="16"/>
                <w:szCs w:val="16"/>
              </w:rPr>
            </w:pPr>
            <w:r w:rsidRPr="009D74E9">
              <w:rPr>
                <w:rFonts w:ascii="Arial Narrow" w:hAnsi="Arial Narrow"/>
                <w:sz w:val="16"/>
                <w:szCs w:val="16"/>
              </w:rPr>
              <w:t>2,</w:t>
            </w:r>
            <w:r w:rsidR="00490C3E">
              <w:rPr>
                <w:rFonts w:ascii="Arial Narrow" w:hAnsi="Arial Narrow"/>
                <w:sz w:val="16"/>
                <w:szCs w:val="16"/>
              </w:rPr>
              <w:t>4</w:t>
            </w:r>
          </w:p>
        </w:tc>
        <w:tc>
          <w:tcPr>
            <w:tcW w:w="714" w:type="pct"/>
            <w:tcBorders>
              <w:top w:val="nil"/>
              <w:left w:val="nil"/>
              <w:bottom w:val="nil"/>
              <w:right w:val="single" w:sz="4" w:space="0" w:color="auto"/>
            </w:tcBorders>
            <w:shd w:val="clear" w:color="auto" w:fill="auto"/>
          </w:tcPr>
          <w:p w:rsidR="002B4535" w:rsidRPr="009D74E9" w:rsidRDefault="002B4535" w:rsidP="00490C3E">
            <w:pPr>
              <w:tabs>
                <w:tab w:val="decimal" w:pos="505"/>
              </w:tabs>
              <w:jc w:val="both"/>
              <w:rPr>
                <w:rFonts w:ascii="Arial Narrow" w:hAnsi="Arial Narrow"/>
                <w:sz w:val="16"/>
                <w:szCs w:val="16"/>
              </w:rPr>
            </w:pPr>
            <w:r w:rsidRPr="009D74E9">
              <w:rPr>
                <w:rFonts w:ascii="Arial Narrow" w:hAnsi="Arial Narrow"/>
                <w:sz w:val="16"/>
                <w:szCs w:val="16"/>
              </w:rPr>
              <w:t>2,</w:t>
            </w:r>
            <w:r w:rsidR="00490C3E">
              <w:rPr>
                <w:rFonts w:ascii="Arial Narrow" w:hAnsi="Arial Narrow"/>
                <w:sz w:val="16"/>
                <w:szCs w:val="16"/>
              </w:rPr>
              <w:t>1</w:t>
            </w:r>
          </w:p>
        </w:tc>
      </w:tr>
      <w:tr w:rsidR="002B4535" w:rsidRPr="00BB6683" w:rsidTr="00B970E9">
        <w:tc>
          <w:tcPr>
            <w:tcW w:w="2760" w:type="pct"/>
            <w:tcBorders>
              <w:top w:val="nil"/>
              <w:left w:val="single" w:sz="4" w:space="0" w:color="auto"/>
              <w:bottom w:val="nil"/>
              <w:right w:val="nil"/>
            </w:tcBorders>
            <w:shd w:val="clear" w:color="auto" w:fill="D9D9D9" w:themeFill="background1" w:themeFillShade="D9"/>
          </w:tcPr>
          <w:p w:rsidR="002B4535" w:rsidRPr="009D74E9" w:rsidRDefault="002B4535" w:rsidP="00B970E9">
            <w:pPr>
              <w:jc w:val="both"/>
              <w:rPr>
                <w:rFonts w:ascii="Arial Narrow" w:hAnsi="Arial Narrow"/>
                <w:sz w:val="16"/>
                <w:szCs w:val="16"/>
              </w:rPr>
            </w:pPr>
            <w:r w:rsidRPr="009D74E9">
              <w:rPr>
                <w:rFonts w:ascii="Arial Narrow" w:hAnsi="Arial Narrow"/>
                <w:sz w:val="16"/>
                <w:szCs w:val="16"/>
              </w:rPr>
              <w:t>Παγκόσμιο Εμπόριο (αγαθά και υπηρεσίες)</w:t>
            </w:r>
          </w:p>
        </w:tc>
        <w:tc>
          <w:tcPr>
            <w:tcW w:w="763" w:type="pct"/>
            <w:tcBorders>
              <w:top w:val="nil"/>
              <w:left w:val="nil"/>
              <w:bottom w:val="nil"/>
              <w:right w:val="nil"/>
            </w:tcBorders>
            <w:shd w:val="clear" w:color="auto" w:fill="D9D9D9" w:themeFill="background1" w:themeFillShade="D9"/>
          </w:tcPr>
          <w:p w:rsidR="002B4535" w:rsidRPr="009D74E9" w:rsidRDefault="00490C3E" w:rsidP="00490C3E">
            <w:pPr>
              <w:tabs>
                <w:tab w:val="decimal" w:pos="573"/>
              </w:tabs>
              <w:jc w:val="both"/>
              <w:rPr>
                <w:rFonts w:ascii="Arial Narrow" w:hAnsi="Arial Narrow"/>
                <w:sz w:val="16"/>
                <w:szCs w:val="16"/>
              </w:rPr>
            </w:pPr>
            <w:r>
              <w:rPr>
                <w:rFonts w:ascii="Arial Narrow" w:hAnsi="Arial Narrow"/>
                <w:sz w:val="16"/>
                <w:szCs w:val="16"/>
              </w:rPr>
              <w:t>3,6</w:t>
            </w:r>
          </w:p>
        </w:tc>
        <w:tc>
          <w:tcPr>
            <w:tcW w:w="763" w:type="pct"/>
            <w:tcBorders>
              <w:top w:val="nil"/>
              <w:left w:val="nil"/>
              <w:bottom w:val="nil"/>
              <w:right w:val="nil"/>
            </w:tcBorders>
            <w:shd w:val="clear" w:color="auto" w:fill="D9D9D9" w:themeFill="background1" w:themeFillShade="D9"/>
          </w:tcPr>
          <w:p w:rsidR="002B4535" w:rsidRPr="009D74E9" w:rsidRDefault="00490C3E" w:rsidP="00490C3E">
            <w:pPr>
              <w:tabs>
                <w:tab w:val="decimal" w:pos="559"/>
              </w:tabs>
              <w:jc w:val="both"/>
              <w:rPr>
                <w:rFonts w:ascii="Arial Narrow" w:hAnsi="Arial Narrow"/>
                <w:sz w:val="16"/>
                <w:szCs w:val="16"/>
              </w:rPr>
            </w:pPr>
            <w:r>
              <w:rPr>
                <w:rFonts w:ascii="Arial Narrow" w:hAnsi="Arial Narrow"/>
                <w:sz w:val="16"/>
                <w:szCs w:val="16"/>
              </w:rPr>
              <w:t>1,1</w:t>
            </w:r>
          </w:p>
        </w:tc>
        <w:tc>
          <w:tcPr>
            <w:tcW w:w="714" w:type="pct"/>
            <w:tcBorders>
              <w:top w:val="nil"/>
              <w:left w:val="nil"/>
              <w:bottom w:val="nil"/>
              <w:right w:val="single" w:sz="4" w:space="0" w:color="auto"/>
            </w:tcBorders>
            <w:shd w:val="clear" w:color="auto" w:fill="D9D9D9" w:themeFill="background1" w:themeFillShade="D9"/>
          </w:tcPr>
          <w:p w:rsidR="002B4535" w:rsidRPr="009D74E9" w:rsidRDefault="00490C3E" w:rsidP="00490C3E">
            <w:pPr>
              <w:tabs>
                <w:tab w:val="decimal" w:pos="505"/>
              </w:tabs>
              <w:jc w:val="both"/>
              <w:rPr>
                <w:rFonts w:ascii="Arial Narrow" w:hAnsi="Arial Narrow"/>
                <w:sz w:val="16"/>
                <w:szCs w:val="16"/>
              </w:rPr>
            </w:pPr>
            <w:r>
              <w:rPr>
                <w:rFonts w:ascii="Arial Narrow" w:hAnsi="Arial Narrow"/>
                <w:sz w:val="16"/>
                <w:szCs w:val="16"/>
              </w:rPr>
              <w:t>3,2</w:t>
            </w:r>
          </w:p>
        </w:tc>
      </w:tr>
      <w:tr w:rsidR="002B4535" w:rsidRPr="00BB6683" w:rsidTr="00B970E9">
        <w:tc>
          <w:tcPr>
            <w:tcW w:w="2760" w:type="pct"/>
            <w:tcBorders>
              <w:top w:val="nil"/>
              <w:left w:val="single" w:sz="4" w:space="0" w:color="auto"/>
              <w:bottom w:val="nil"/>
              <w:right w:val="nil"/>
            </w:tcBorders>
            <w:shd w:val="clear" w:color="auto" w:fill="auto"/>
          </w:tcPr>
          <w:p w:rsidR="002B4535" w:rsidRPr="009D74E9" w:rsidRDefault="002B4535" w:rsidP="00B970E9">
            <w:pPr>
              <w:jc w:val="both"/>
              <w:rPr>
                <w:rFonts w:ascii="Arial Narrow" w:hAnsi="Arial Narrow"/>
                <w:sz w:val="16"/>
                <w:szCs w:val="16"/>
              </w:rPr>
            </w:pPr>
            <w:r w:rsidRPr="009D74E9">
              <w:rPr>
                <w:rFonts w:ascii="Arial Narrow" w:hAnsi="Arial Narrow"/>
                <w:sz w:val="16"/>
                <w:szCs w:val="16"/>
              </w:rPr>
              <w:t>Πληθωρισμός</w:t>
            </w:r>
          </w:p>
        </w:tc>
        <w:tc>
          <w:tcPr>
            <w:tcW w:w="763" w:type="pct"/>
            <w:tcBorders>
              <w:top w:val="nil"/>
              <w:left w:val="nil"/>
              <w:bottom w:val="nil"/>
              <w:right w:val="nil"/>
            </w:tcBorders>
            <w:shd w:val="clear" w:color="auto" w:fill="auto"/>
          </w:tcPr>
          <w:p w:rsidR="002B4535" w:rsidRPr="009D74E9" w:rsidRDefault="002B4535" w:rsidP="00490C3E">
            <w:pPr>
              <w:tabs>
                <w:tab w:val="decimal" w:pos="573"/>
              </w:tabs>
              <w:jc w:val="both"/>
              <w:rPr>
                <w:rFonts w:ascii="Arial Narrow" w:hAnsi="Arial Narrow"/>
                <w:sz w:val="16"/>
                <w:szCs w:val="16"/>
              </w:rPr>
            </w:pPr>
          </w:p>
        </w:tc>
        <w:tc>
          <w:tcPr>
            <w:tcW w:w="763" w:type="pct"/>
            <w:tcBorders>
              <w:top w:val="nil"/>
              <w:left w:val="nil"/>
              <w:bottom w:val="nil"/>
              <w:right w:val="nil"/>
            </w:tcBorders>
            <w:shd w:val="clear" w:color="auto" w:fill="auto"/>
          </w:tcPr>
          <w:p w:rsidR="002B4535" w:rsidRPr="009D74E9" w:rsidRDefault="002B4535" w:rsidP="00490C3E">
            <w:pPr>
              <w:tabs>
                <w:tab w:val="decimal" w:pos="559"/>
              </w:tabs>
              <w:jc w:val="both"/>
              <w:rPr>
                <w:rFonts w:ascii="Arial Narrow" w:hAnsi="Arial Narrow"/>
                <w:sz w:val="16"/>
                <w:szCs w:val="16"/>
              </w:rPr>
            </w:pPr>
          </w:p>
        </w:tc>
        <w:tc>
          <w:tcPr>
            <w:tcW w:w="714" w:type="pct"/>
            <w:tcBorders>
              <w:top w:val="nil"/>
              <w:left w:val="nil"/>
              <w:bottom w:val="nil"/>
              <w:right w:val="single" w:sz="4" w:space="0" w:color="auto"/>
            </w:tcBorders>
            <w:shd w:val="clear" w:color="auto" w:fill="auto"/>
          </w:tcPr>
          <w:p w:rsidR="002B4535" w:rsidRPr="009D74E9" w:rsidRDefault="002B4535" w:rsidP="00490C3E">
            <w:pPr>
              <w:tabs>
                <w:tab w:val="decimal" w:pos="505"/>
              </w:tabs>
              <w:jc w:val="both"/>
              <w:rPr>
                <w:rFonts w:ascii="Arial Narrow" w:hAnsi="Arial Narrow"/>
                <w:sz w:val="16"/>
                <w:szCs w:val="16"/>
              </w:rPr>
            </w:pPr>
          </w:p>
        </w:tc>
      </w:tr>
      <w:tr w:rsidR="002B4535" w:rsidRPr="00BB6683" w:rsidTr="00B970E9">
        <w:tc>
          <w:tcPr>
            <w:tcW w:w="2760" w:type="pct"/>
            <w:tcBorders>
              <w:top w:val="nil"/>
              <w:left w:val="single" w:sz="4" w:space="0" w:color="auto"/>
              <w:bottom w:val="nil"/>
              <w:right w:val="nil"/>
            </w:tcBorders>
            <w:shd w:val="clear" w:color="auto" w:fill="auto"/>
          </w:tcPr>
          <w:p w:rsidR="002B4535" w:rsidRPr="009D74E9" w:rsidRDefault="002B4535" w:rsidP="00B970E9">
            <w:pPr>
              <w:jc w:val="both"/>
              <w:rPr>
                <w:rFonts w:ascii="Arial Narrow" w:hAnsi="Arial Narrow"/>
                <w:sz w:val="16"/>
                <w:szCs w:val="16"/>
              </w:rPr>
            </w:pPr>
            <w:r w:rsidRPr="009D74E9">
              <w:rPr>
                <w:rFonts w:ascii="Arial Narrow" w:hAnsi="Arial Narrow"/>
                <w:sz w:val="16"/>
                <w:szCs w:val="16"/>
              </w:rPr>
              <w:t>α. Προηγμένες οικονομίες</w:t>
            </w:r>
          </w:p>
        </w:tc>
        <w:tc>
          <w:tcPr>
            <w:tcW w:w="763" w:type="pct"/>
            <w:tcBorders>
              <w:top w:val="nil"/>
              <w:left w:val="nil"/>
              <w:bottom w:val="nil"/>
              <w:right w:val="nil"/>
            </w:tcBorders>
            <w:shd w:val="clear" w:color="auto" w:fill="auto"/>
          </w:tcPr>
          <w:p w:rsidR="002B4535" w:rsidRPr="009D74E9" w:rsidRDefault="00490C3E" w:rsidP="00490C3E">
            <w:pPr>
              <w:tabs>
                <w:tab w:val="decimal" w:pos="573"/>
              </w:tabs>
              <w:jc w:val="both"/>
              <w:rPr>
                <w:rFonts w:ascii="Arial Narrow" w:hAnsi="Arial Narrow"/>
                <w:sz w:val="16"/>
                <w:szCs w:val="16"/>
              </w:rPr>
            </w:pPr>
            <w:r>
              <w:rPr>
                <w:rFonts w:ascii="Arial Narrow" w:hAnsi="Arial Narrow"/>
                <w:sz w:val="16"/>
                <w:szCs w:val="16"/>
              </w:rPr>
              <w:t>2,0</w:t>
            </w:r>
          </w:p>
        </w:tc>
        <w:tc>
          <w:tcPr>
            <w:tcW w:w="763" w:type="pct"/>
            <w:tcBorders>
              <w:top w:val="nil"/>
              <w:left w:val="nil"/>
              <w:bottom w:val="nil"/>
              <w:right w:val="nil"/>
            </w:tcBorders>
            <w:shd w:val="clear" w:color="auto" w:fill="auto"/>
          </w:tcPr>
          <w:p w:rsidR="002B4535" w:rsidRPr="009D74E9" w:rsidRDefault="00490C3E" w:rsidP="00490C3E">
            <w:pPr>
              <w:tabs>
                <w:tab w:val="decimal" w:pos="559"/>
              </w:tabs>
              <w:jc w:val="both"/>
              <w:rPr>
                <w:rFonts w:ascii="Arial Narrow" w:hAnsi="Arial Narrow"/>
                <w:sz w:val="16"/>
                <w:szCs w:val="16"/>
              </w:rPr>
            </w:pPr>
            <w:r>
              <w:rPr>
                <w:rFonts w:ascii="Arial Narrow" w:hAnsi="Arial Narrow"/>
                <w:sz w:val="16"/>
                <w:szCs w:val="16"/>
              </w:rPr>
              <w:t>1,5</w:t>
            </w:r>
          </w:p>
        </w:tc>
        <w:tc>
          <w:tcPr>
            <w:tcW w:w="714" w:type="pct"/>
            <w:tcBorders>
              <w:top w:val="nil"/>
              <w:left w:val="nil"/>
              <w:bottom w:val="nil"/>
              <w:right w:val="single" w:sz="4" w:space="0" w:color="auto"/>
            </w:tcBorders>
            <w:shd w:val="clear" w:color="auto" w:fill="auto"/>
          </w:tcPr>
          <w:p w:rsidR="002B4535" w:rsidRPr="009D74E9" w:rsidRDefault="002B4535" w:rsidP="00490C3E">
            <w:pPr>
              <w:tabs>
                <w:tab w:val="decimal" w:pos="505"/>
              </w:tabs>
              <w:jc w:val="both"/>
              <w:rPr>
                <w:rFonts w:ascii="Arial Narrow" w:hAnsi="Arial Narrow"/>
                <w:sz w:val="16"/>
                <w:szCs w:val="16"/>
              </w:rPr>
            </w:pPr>
            <w:r w:rsidRPr="009D74E9">
              <w:rPr>
                <w:rFonts w:ascii="Arial Narrow" w:hAnsi="Arial Narrow"/>
                <w:sz w:val="16"/>
                <w:szCs w:val="16"/>
              </w:rPr>
              <w:t>1,</w:t>
            </w:r>
            <w:r w:rsidR="00490C3E">
              <w:rPr>
                <w:rFonts w:ascii="Arial Narrow" w:hAnsi="Arial Narrow"/>
                <w:sz w:val="16"/>
                <w:szCs w:val="16"/>
              </w:rPr>
              <w:t>8</w:t>
            </w:r>
          </w:p>
        </w:tc>
      </w:tr>
      <w:tr w:rsidR="002B4535" w:rsidRPr="00BB6683" w:rsidTr="00B970E9">
        <w:tc>
          <w:tcPr>
            <w:tcW w:w="2760" w:type="pct"/>
            <w:tcBorders>
              <w:top w:val="nil"/>
              <w:left w:val="single" w:sz="4" w:space="0" w:color="auto"/>
              <w:bottom w:val="nil"/>
              <w:right w:val="nil"/>
            </w:tcBorders>
            <w:shd w:val="clear" w:color="auto" w:fill="auto"/>
          </w:tcPr>
          <w:p w:rsidR="002B4535" w:rsidRPr="009D74E9" w:rsidRDefault="002B4535" w:rsidP="00B970E9">
            <w:pPr>
              <w:jc w:val="both"/>
              <w:rPr>
                <w:rFonts w:ascii="Arial Narrow" w:hAnsi="Arial Narrow"/>
                <w:sz w:val="16"/>
                <w:szCs w:val="16"/>
              </w:rPr>
            </w:pPr>
            <w:r w:rsidRPr="009D74E9">
              <w:rPr>
                <w:rFonts w:ascii="Arial Narrow" w:hAnsi="Arial Narrow"/>
                <w:sz w:val="16"/>
                <w:szCs w:val="16"/>
              </w:rPr>
              <w:t>β. Αναδυόμενες αγορές και αναπτυσσόμενες οικονομίες</w:t>
            </w:r>
          </w:p>
        </w:tc>
        <w:tc>
          <w:tcPr>
            <w:tcW w:w="763" w:type="pct"/>
            <w:tcBorders>
              <w:top w:val="nil"/>
              <w:left w:val="nil"/>
              <w:bottom w:val="nil"/>
              <w:right w:val="nil"/>
            </w:tcBorders>
            <w:shd w:val="clear" w:color="auto" w:fill="auto"/>
          </w:tcPr>
          <w:p w:rsidR="002B4535" w:rsidRPr="009D74E9" w:rsidRDefault="002B4535" w:rsidP="00490C3E">
            <w:pPr>
              <w:tabs>
                <w:tab w:val="decimal" w:pos="573"/>
              </w:tabs>
              <w:jc w:val="both"/>
              <w:rPr>
                <w:rFonts w:ascii="Arial Narrow" w:hAnsi="Arial Narrow"/>
                <w:sz w:val="16"/>
                <w:szCs w:val="16"/>
              </w:rPr>
            </w:pPr>
            <w:r w:rsidRPr="009D74E9">
              <w:rPr>
                <w:rFonts w:ascii="Arial Narrow" w:hAnsi="Arial Narrow"/>
                <w:sz w:val="16"/>
                <w:szCs w:val="16"/>
              </w:rPr>
              <w:t>4,</w:t>
            </w:r>
            <w:r w:rsidR="00490C3E">
              <w:rPr>
                <w:rFonts w:ascii="Arial Narrow" w:hAnsi="Arial Narrow"/>
                <w:sz w:val="16"/>
                <w:szCs w:val="16"/>
              </w:rPr>
              <w:t>8</w:t>
            </w:r>
          </w:p>
        </w:tc>
        <w:tc>
          <w:tcPr>
            <w:tcW w:w="763" w:type="pct"/>
            <w:tcBorders>
              <w:top w:val="nil"/>
              <w:left w:val="nil"/>
              <w:bottom w:val="nil"/>
              <w:right w:val="nil"/>
            </w:tcBorders>
            <w:shd w:val="clear" w:color="auto" w:fill="auto"/>
          </w:tcPr>
          <w:p w:rsidR="002B4535" w:rsidRPr="009D74E9" w:rsidRDefault="00490C3E" w:rsidP="00490C3E">
            <w:pPr>
              <w:tabs>
                <w:tab w:val="decimal" w:pos="559"/>
              </w:tabs>
              <w:jc w:val="both"/>
              <w:rPr>
                <w:rFonts w:ascii="Arial Narrow" w:hAnsi="Arial Narrow"/>
                <w:sz w:val="16"/>
                <w:szCs w:val="16"/>
              </w:rPr>
            </w:pPr>
            <w:r>
              <w:rPr>
                <w:rFonts w:ascii="Arial Narrow" w:hAnsi="Arial Narrow"/>
                <w:sz w:val="16"/>
                <w:szCs w:val="16"/>
              </w:rPr>
              <w:t>4,7</w:t>
            </w:r>
          </w:p>
        </w:tc>
        <w:tc>
          <w:tcPr>
            <w:tcW w:w="714" w:type="pct"/>
            <w:tcBorders>
              <w:top w:val="nil"/>
              <w:left w:val="nil"/>
              <w:bottom w:val="nil"/>
              <w:right w:val="single" w:sz="4" w:space="0" w:color="auto"/>
            </w:tcBorders>
            <w:shd w:val="clear" w:color="auto" w:fill="auto"/>
          </w:tcPr>
          <w:p w:rsidR="002B4535" w:rsidRPr="009D74E9" w:rsidRDefault="00490C3E" w:rsidP="00490C3E">
            <w:pPr>
              <w:tabs>
                <w:tab w:val="decimal" w:pos="505"/>
              </w:tabs>
              <w:jc w:val="both"/>
              <w:rPr>
                <w:rFonts w:ascii="Arial Narrow" w:hAnsi="Arial Narrow"/>
                <w:sz w:val="16"/>
                <w:szCs w:val="16"/>
              </w:rPr>
            </w:pPr>
            <w:r>
              <w:rPr>
                <w:rFonts w:ascii="Arial Narrow" w:hAnsi="Arial Narrow"/>
                <w:sz w:val="16"/>
                <w:szCs w:val="16"/>
              </w:rPr>
              <w:t>4,8</w:t>
            </w:r>
          </w:p>
        </w:tc>
      </w:tr>
      <w:tr w:rsidR="002B4535" w:rsidRPr="006D524B" w:rsidTr="00B970E9">
        <w:tc>
          <w:tcPr>
            <w:tcW w:w="2760" w:type="pct"/>
            <w:tcBorders>
              <w:top w:val="nil"/>
              <w:left w:val="single" w:sz="4" w:space="0" w:color="auto"/>
              <w:bottom w:val="single" w:sz="4" w:space="0" w:color="auto"/>
              <w:right w:val="nil"/>
            </w:tcBorders>
            <w:shd w:val="clear" w:color="auto" w:fill="D9D9D9" w:themeFill="background1" w:themeFillShade="D9"/>
          </w:tcPr>
          <w:p w:rsidR="002B4535" w:rsidRPr="00EC15F8" w:rsidRDefault="002B4535" w:rsidP="00B970E9">
            <w:pPr>
              <w:jc w:val="both"/>
              <w:rPr>
                <w:rFonts w:ascii="Arial Narrow" w:hAnsi="Arial Narrow"/>
                <w:sz w:val="16"/>
                <w:szCs w:val="16"/>
              </w:rPr>
            </w:pPr>
            <w:r w:rsidRPr="009D74E9">
              <w:rPr>
                <w:rFonts w:ascii="Arial Narrow" w:hAnsi="Arial Narrow"/>
                <w:sz w:val="16"/>
                <w:szCs w:val="16"/>
              </w:rPr>
              <w:t>Τιμή πετρελαίου (Brent, USD/barrel)</w:t>
            </w:r>
            <w:r w:rsidRPr="00EC15F8">
              <w:rPr>
                <w:rFonts w:ascii="Arial Narrow" w:hAnsi="Arial Narrow"/>
                <w:sz w:val="16"/>
                <w:szCs w:val="16"/>
              </w:rPr>
              <w:t>**</w:t>
            </w:r>
          </w:p>
        </w:tc>
        <w:tc>
          <w:tcPr>
            <w:tcW w:w="763" w:type="pct"/>
            <w:tcBorders>
              <w:top w:val="nil"/>
              <w:left w:val="nil"/>
              <w:bottom w:val="single" w:sz="4" w:space="0" w:color="auto"/>
              <w:right w:val="nil"/>
            </w:tcBorders>
            <w:shd w:val="clear" w:color="auto" w:fill="D9D9D9" w:themeFill="background1" w:themeFillShade="D9"/>
          </w:tcPr>
          <w:p w:rsidR="002B4535" w:rsidRPr="009D74E9" w:rsidRDefault="00490C3E" w:rsidP="00490C3E">
            <w:pPr>
              <w:tabs>
                <w:tab w:val="decimal" w:pos="573"/>
              </w:tabs>
              <w:jc w:val="both"/>
              <w:rPr>
                <w:rFonts w:ascii="Arial Narrow" w:hAnsi="Arial Narrow"/>
                <w:sz w:val="16"/>
                <w:szCs w:val="16"/>
              </w:rPr>
            </w:pPr>
            <w:r>
              <w:rPr>
                <w:rFonts w:ascii="Arial Narrow" w:hAnsi="Arial Narrow"/>
                <w:sz w:val="16"/>
                <w:szCs w:val="16"/>
              </w:rPr>
              <w:t>71,5</w:t>
            </w:r>
          </w:p>
        </w:tc>
        <w:tc>
          <w:tcPr>
            <w:tcW w:w="763" w:type="pct"/>
            <w:tcBorders>
              <w:top w:val="nil"/>
              <w:left w:val="nil"/>
              <w:bottom w:val="single" w:sz="4" w:space="0" w:color="auto"/>
              <w:right w:val="nil"/>
            </w:tcBorders>
            <w:shd w:val="clear" w:color="auto" w:fill="D9D9D9" w:themeFill="background1" w:themeFillShade="D9"/>
          </w:tcPr>
          <w:p w:rsidR="002B4535" w:rsidRPr="009D74E9" w:rsidRDefault="00490C3E" w:rsidP="00490C3E">
            <w:pPr>
              <w:tabs>
                <w:tab w:val="decimal" w:pos="559"/>
              </w:tabs>
              <w:jc w:val="both"/>
              <w:rPr>
                <w:rFonts w:ascii="Arial Narrow" w:hAnsi="Arial Narrow"/>
                <w:sz w:val="16"/>
                <w:szCs w:val="16"/>
              </w:rPr>
            </w:pPr>
            <w:r>
              <w:rPr>
                <w:rFonts w:ascii="Arial Narrow" w:hAnsi="Arial Narrow"/>
                <w:sz w:val="16"/>
                <w:szCs w:val="16"/>
              </w:rPr>
              <w:t>63,3</w:t>
            </w:r>
          </w:p>
        </w:tc>
        <w:tc>
          <w:tcPr>
            <w:tcW w:w="714" w:type="pct"/>
            <w:tcBorders>
              <w:top w:val="nil"/>
              <w:left w:val="nil"/>
              <w:bottom w:val="single" w:sz="4" w:space="0" w:color="auto"/>
              <w:right w:val="single" w:sz="4" w:space="0" w:color="auto"/>
            </w:tcBorders>
            <w:shd w:val="clear" w:color="auto" w:fill="D9D9D9" w:themeFill="background1" w:themeFillShade="D9"/>
          </w:tcPr>
          <w:p w:rsidR="002B4535" w:rsidRPr="009D74E9" w:rsidRDefault="00490C3E" w:rsidP="00490C3E">
            <w:pPr>
              <w:tabs>
                <w:tab w:val="decimal" w:pos="505"/>
              </w:tabs>
              <w:jc w:val="both"/>
              <w:rPr>
                <w:rFonts w:ascii="Arial Narrow" w:hAnsi="Arial Narrow"/>
                <w:sz w:val="16"/>
                <w:szCs w:val="16"/>
              </w:rPr>
            </w:pPr>
            <w:r>
              <w:rPr>
                <w:rFonts w:ascii="Arial Narrow" w:hAnsi="Arial Narrow"/>
                <w:sz w:val="16"/>
                <w:szCs w:val="16"/>
              </w:rPr>
              <w:t>57,4</w:t>
            </w:r>
          </w:p>
        </w:tc>
      </w:tr>
    </w:tbl>
    <w:p w:rsidR="002B4535" w:rsidRPr="002B4535" w:rsidRDefault="002B4535" w:rsidP="00B970E9">
      <w:pPr>
        <w:pStyle w:val="10"/>
        <w:jc w:val="both"/>
        <w:rPr>
          <w:rFonts w:ascii="Arial Narrow" w:hAnsi="Arial Narrow"/>
          <w:sz w:val="16"/>
          <w:szCs w:val="16"/>
        </w:rPr>
      </w:pPr>
      <w:r w:rsidRPr="002B4535">
        <w:rPr>
          <w:rFonts w:ascii="Arial Narrow" w:hAnsi="Arial Narrow"/>
          <w:sz w:val="16"/>
          <w:szCs w:val="16"/>
        </w:rPr>
        <w:t xml:space="preserve">Πηγές: </w:t>
      </w:r>
      <w:r w:rsidRPr="002B4535">
        <w:rPr>
          <w:rFonts w:ascii="Arial Narrow" w:hAnsi="Arial Narrow"/>
          <w:sz w:val="16"/>
          <w:szCs w:val="16"/>
          <w:lang w:val="en-US"/>
        </w:rPr>
        <w:t>IMF</w:t>
      </w:r>
      <w:r w:rsidRPr="002B4535">
        <w:rPr>
          <w:rFonts w:ascii="Arial Narrow" w:hAnsi="Arial Narrow"/>
          <w:sz w:val="16"/>
          <w:szCs w:val="16"/>
        </w:rPr>
        <w:t xml:space="preserve">, </w:t>
      </w:r>
      <w:r w:rsidRPr="002B4535">
        <w:rPr>
          <w:rFonts w:ascii="Arial Narrow" w:hAnsi="Arial Narrow"/>
          <w:sz w:val="16"/>
          <w:szCs w:val="16"/>
          <w:lang w:val="en-US"/>
        </w:rPr>
        <w:t>World</w:t>
      </w:r>
      <w:r w:rsidRPr="002B4535">
        <w:rPr>
          <w:rFonts w:ascii="Arial Narrow" w:hAnsi="Arial Narrow"/>
          <w:sz w:val="16"/>
          <w:szCs w:val="16"/>
        </w:rPr>
        <w:t xml:space="preserve"> Ε</w:t>
      </w:r>
      <w:r w:rsidRPr="002B4535">
        <w:rPr>
          <w:rFonts w:ascii="Arial Narrow" w:hAnsi="Arial Narrow"/>
          <w:sz w:val="16"/>
          <w:szCs w:val="16"/>
          <w:lang w:val="en-US"/>
        </w:rPr>
        <w:t>conomic</w:t>
      </w:r>
      <w:r w:rsidRPr="002B4535">
        <w:rPr>
          <w:rFonts w:ascii="Arial Narrow" w:hAnsi="Arial Narrow"/>
          <w:sz w:val="16"/>
          <w:szCs w:val="16"/>
        </w:rPr>
        <w:t xml:space="preserve"> Ο</w:t>
      </w:r>
      <w:r w:rsidRPr="002B4535">
        <w:rPr>
          <w:rFonts w:ascii="Arial Narrow" w:hAnsi="Arial Narrow"/>
          <w:sz w:val="16"/>
          <w:szCs w:val="16"/>
          <w:lang w:val="en-US"/>
        </w:rPr>
        <w:t>utlook</w:t>
      </w:r>
      <w:r w:rsidRPr="002B4535">
        <w:rPr>
          <w:rFonts w:ascii="Arial Narrow" w:hAnsi="Arial Narrow"/>
          <w:sz w:val="16"/>
          <w:szCs w:val="16"/>
        </w:rPr>
        <w:t xml:space="preserve">, </w:t>
      </w:r>
      <w:r w:rsidRPr="002B4535">
        <w:rPr>
          <w:rFonts w:ascii="Arial Narrow" w:hAnsi="Arial Narrow"/>
          <w:sz w:val="16"/>
          <w:szCs w:val="16"/>
          <w:lang w:val="en-US"/>
        </w:rPr>
        <w:t>Update</w:t>
      </w:r>
      <w:r>
        <w:rPr>
          <w:rFonts w:ascii="Arial Narrow" w:hAnsi="Arial Narrow"/>
          <w:sz w:val="16"/>
          <w:szCs w:val="16"/>
        </w:rPr>
        <w:t xml:space="preserve"> (Οκτώβριος 2019)</w:t>
      </w:r>
    </w:p>
    <w:p w:rsidR="002B4535" w:rsidRPr="002B4535" w:rsidRDefault="002B4535" w:rsidP="00B970E9">
      <w:pPr>
        <w:pStyle w:val="10"/>
        <w:tabs>
          <w:tab w:val="left" w:pos="142"/>
        </w:tabs>
        <w:ind w:left="142" w:hanging="142"/>
        <w:jc w:val="both"/>
        <w:rPr>
          <w:rFonts w:ascii="Arial Narrow" w:hAnsi="Arial Narrow"/>
          <w:sz w:val="16"/>
          <w:szCs w:val="16"/>
        </w:rPr>
      </w:pPr>
      <w:r w:rsidRPr="002B4535">
        <w:rPr>
          <w:rFonts w:ascii="Arial Narrow" w:hAnsi="Arial Narrow"/>
          <w:sz w:val="16"/>
          <w:szCs w:val="16"/>
        </w:rPr>
        <w:t>*</w:t>
      </w:r>
      <w:r w:rsidRPr="002B4535">
        <w:rPr>
          <w:rFonts w:ascii="Arial Narrow" w:hAnsi="Arial Narrow"/>
          <w:sz w:val="16"/>
          <w:szCs w:val="16"/>
        </w:rPr>
        <w:tab/>
        <w:t>Εκτιμήσεις/Προβλέψεις</w:t>
      </w:r>
    </w:p>
    <w:p w:rsidR="002B4535" w:rsidRPr="00993C4C" w:rsidRDefault="002B4535" w:rsidP="00B970E9">
      <w:pPr>
        <w:pStyle w:val="10"/>
        <w:tabs>
          <w:tab w:val="left" w:pos="142"/>
        </w:tabs>
        <w:ind w:left="142" w:hanging="142"/>
        <w:jc w:val="both"/>
        <w:rPr>
          <w:rFonts w:ascii="Arial Narrow" w:hAnsi="Arial Narrow"/>
          <w:sz w:val="16"/>
          <w:szCs w:val="16"/>
        </w:rPr>
      </w:pPr>
      <w:r w:rsidRPr="002B4535">
        <w:rPr>
          <w:rFonts w:ascii="Arial Narrow" w:hAnsi="Arial Narrow"/>
          <w:sz w:val="16"/>
          <w:szCs w:val="16"/>
        </w:rPr>
        <w:t>**</w:t>
      </w:r>
      <w:r w:rsidRPr="002B4535">
        <w:rPr>
          <w:rFonts w:ascii="Arial Narrow" w:hAnsi="Arial Narrow"/>
          <w:sz w:val="16"/>
          <w:szCs w:val="16"/>
        </w:rPr>
        <w:tab/>
        <w:t>Φθινοπωρινές Οικονομικές Προβλέψεις Ευρωπ</w:t>
      </w:r>
      <w:r>
        <w:rPr>
          <w:rFonts w:ascii="Arial Narrow" w:hAnsi="Arial Narrow"/>
          <w:sz w:val="16"/>
          <w:szCs w:val="16"/>
        </w:rPr>
        <w:t>αϊκής Επιτροπής, Νοέμβριος 2019</w:t>
      </w:r>
    </w:p>
    <w:p w:rsidR="002B4535" w:rsidRPr="002B4535" w:rsidRDefault="002B4535" w:rsidP="002B4535">
      <w:pPr>
        <w:pStyle w:val="10"/>
        <w:rPr>
          <w:b/>
          <w:sz w:val="22"/>
        </w:rPr>
      </w:pPr>
    </w:p>
    <w:p w:rsidR="002B4535" w:rsidRPr="002B4535" w:rsidRDefault="002B4535" w:rsidP="00993C4C">
      <w:pPr>
        <w:pStyle w:val="10"/>
        <w:jc w:val="both"/>
        <w:rPr>
          <w:sz w:val="22"/>
        </w:rPr>
      </w:pPr>
      <w:r w:rsidRPr="002B4535">
        <w:rPr>
          <w:sz w:val="22"/>
        </w:rPr>
        <w:t>Σύμφωνα με τις εκτιμήσεις της Ευρωπαϊκής Κεντρικής Τράπεζας</w:t>
      </w:r>
      <w:r w:rsidRPr="002B4535">
        <w:rPr>
          <w:sz w:val="22"/>
          <w:vertAlign w:val="superscript"/>
        </w:rPr>
        <w:footnoteReference w:id="4"/>
      </w:r>
      <w:r w:rsidRPr="002B4535">
        <w:rPr>
          <w:sz w:val="22"/>
        </w:rPr>
        <w:t>, η εξωτερική ζήτηση προϊόντων και υπηρεσιών της ζώνης του ευρώ αναμένεται να επιβραδυνθεί και να διαμορφωθεί σε 1,0% και 1,9% το 2019 και το 2020 αντίστοιχα, έναντι 3,7% το 2018. Συγκριτικά με τα στοιχεία της προηγούμενης έ</w:t>
      </w:r>
      <w:r w:rsidRPr="002B4535">
        <w:rPr>
          <w:sz w:val="22"/>
        </w:rPr>
        <w:t>κ</w:t>
      </w:r>
      <w:r w:rsidRPr="002B4535">
        <w:rPr>
          <w:sz w:val="22"/>
        </w:rPr>
        <w:t>θεσης (Ιούνιος 2019), ο ρυθμός μεταβολής της εξωτερικής ζήτησης αναθεωρήθηκε προς τα κάτω κατά 0,7% τόσο για το 2019 όσο και για το 2020. Η επιβράδυνση της εξωτερικής ζήτησης αγαθών και υπ</w:t>
      </w:r>
      <w:r w:rsidRPr="002B4535">
        <w:rPr>
          <w:sz w:val="22"/>
        </w:rPr>
        <w:t>η</w:t>
      </w:r>
      <w:r w:rsidRPr="002B4535">
        <w:rPr>
          <w:sz w:val="22"/>
        </w:rPr>
        <w:lastRenderedPageBreak/>
        <w:t>ρεσιών της ευρωζώνης, η οποία συνδέεται με την επιβράδυνση της παγκόσμιας οικονομικής δραστ</w:t>
      </w:r>
      <w:r w:rsidRPr="002B4535">
        <w:rPr>
          <w:sz w:val="22"/>
        </w:rPr>
        <w:t>η</w:t>
      </w:r>
      <w:r w:rsidRPr="002B4535">
        <w:rPr>
          <w:sz w:val="22"/>
        </w:rPr>
        <w:t>ριότητας, αναμένεται να περιορίσει την άνοδο των εξαγωγών κατά τα έτη 2019 και 2020.</w:t>
      </w:r>
    </w:p>
    <w:p w:rsidR="002B4535" w:rsidRPr="002B4535" w:rsidRDefault="002B4535" w:rsidP="002B4535">
      <w:pPr>
        <w:pStyle w:val="10"/>
        <w:rPr>
          <w:sz w:val="22"/>
        </w:rPr>
      </w:pPr>
    </w:p>
    <w:p w:rsidR="002B4535" w:rsidRPr="002B4535" w:rsidRDefault="002B4535" w:rsidP="00993C4C">
      <w:pPr>
        <w:pStyle w:val="10"/>
        <w:jc w:val="both"/>
        <w:rPr>
          <w:sz w:val="22"/>
        </w:rPr>
      </w:pPr>
      <w:r w:rsidRPr="002B4535">
        <w:rPr>
          <w:sz w:val="22"/>
        </w:rPr>
        <w:t>Οι ευνοϊκές συνθήκες στην αγορά εργασίας της ζώνης του ευρώ μέχρι τώρα συνέβαλαν στη διατήρ</w:t>
      </w:r>
      <w:r w:rsidRPr="002B4535">
        <w:rPr>
          <w:sz w:val="22"/>
        </w:rPr>
        <w:t>η</w:t>
      </w:r>
      <w:r w:rsidRPr="002B4535">
        <w:rPr>
          <w:sz w:val="22"/>
        </w:rPr>
        <w:t>ση της ιδιωτικής κατανάλωσης και της εγχώριας ζήτησης. Ωστόσο, σύμφωνα με την έκθεση της Ε</w:t>
      </w:r>
      <w:r w:rsidRPr="002B4535">
        <w:rPr>
          <w:sz w:val="22"/>
        </w:rPr>
        <w:t>υ</w:t>
      </w:r>
      <w:r w:rsidRPr="002B4535">
        <w:rPr>
          <w:sz w:val="22"/>
        </w:rPr>
        <w:t xml:space="preserve">ρωπαϊκής Επιτροπής, οι συνθήκες στην αγορά εργασίας γίνονται λιγότερο ευνοϊκές για τα επόμενα δύο έτη. Ο ρυθμός αύξησης της απασχόλησης εκτιμάται σε 1,1% και 0,5% για το 2019 και το 2020 αντίστοιχα, έναντι 1,5% το 2018, αντανακλώντας εν μέρει βραχυπρόθεσμα την αρνητική επίδραση προσωρινών παραγόντων. Το ποσοστό ανεργίας εκτιμάται ότι θα διαμορφωθεί σε 7,7% και 7,5% το 2019 και 2020 αντίστοιχα, έναντι 8,2% το 2018, σύμφωνα με την έκθεση της Ευρωπαϊκής Κεντρικής Τράπεζας (Σεπτέμβριος 2019). </w:t>
      </w:r>
    </w:p>
    <w:p w:rsidR="002B4535" w:rsidRPr="002B4535" w:rsidRDefault="002B4535" w:rsidP="00993C4C">
      <w:pPr>
        <w:pStyle w:val="10"/>
        <w:jc w:val="both"/>
        <w:rPr>
          <w:sz w:val="22"/>
        </w:rPr>
      </w:pPr>
    </w:p>
    <w:p w:rsidR="002B4535" w:rsidRPr="002B4535" w:rsidRDefault="002B4535" w:rsidP="00993C4C">
      <w:pPr>
        <w:pStyle w:val="10"/>
        <w:jc w:val="both"/>
        <w:rPr>
          <w:sz w:val="22"/>
        </w:rPr>
      </w:pPr>
      <w:r w:rsidRPr="002B4535">
        <w:rPr>
          <w:sz w:val="22"/>
        </w:rPr>
        <w:t>Εν κατακλείδι, η πρόβλεψη για ανάκαμψη της παγκόσμιας οικονομίας το 2020 σε σχέση με το 2019 βασίζεται κυρίως σε παράγοντες όπως η εξασθένηση των παροδικών δυσμενών επιδράσεων ειδικότ</w:t>
      </w:r>
      <w:r w:rsidRPr="002B4535">
        <w:rPr>
          <w:sz w:val="22"/>
        </w:rPr>
        <w:t>ε</w:t>
      </w:r>
      <w:r w:rsidRPr="002B4535">
        <w:rPr>
          <w:sz w:val="22"/>
        </w:rPr>
        <w:t>ρα στη ζώνη του ευρώ και η άνοδος των ρυθμών μεγέθυνσης ορισμένων αναπτυσσόμενων οικον</w:t>
      </w:r>
      <w:r w:rsidRPr="002B4535">
        <w:rPr>
          <w:sz w:val="22"/>
        </w:rPr>
        <w:t>ο</w:t>
      </w:r>
      <w:r w:rsidRPr="002B4535">
        <w:rPr>
          <w:sz w:val="22"/>
        </w:rPr>
        <w:t>μιών. Ωστόσο οι κίνδυνοι του μεταβαλλόμενου διεθνούς περιβάλλοντος παραμένουν απειλή για την παγκόσμια οικονομία. Στο πλαίσιο αυτό η προβλεπόμενη ανάκαμψη του ρυθμού παγκόσμιας ανάπτ</w:t>
      </w:r>
      <w:r w:rsidRPr="002B4535">
        <w:rPr>
          <w:sz w:val="22"/>
        </w:rPr>
        <w:t>υ</w:t>
      </w:r>
      <w:r w:rsidRPr="002B4535">
        <w:rPr>
          <w:sz w:val="22"/>
        </w:rPr>
        <w:t>ξης το 2020 προϋποθέτει την άμβλυνση των εντάσεων και της αβεβαιότητας του διεθνούς περιβάλλ</w:t>
      </w:r>
      <w:r w:rsidRPr="002B4535">
        <w:rPr>
          <w:sz w:val="22"/>
        </w:rPr>
        <w:t>ο</w:t>
      </w:r>
      <w:r w:rsidRPr="002B4535">
        <w:rPr>
          <w:sz w:val="22"/>
        </w:rPr>
        <w:t>ντος. Η άνοδος του εμπορικού προστατευτισμού, η περαιτέρω κλιμάκωση των γεωπολιτικών εντάσ</w:t>
      </w:r>
      <w:r w:rsidRPr="002B4535">
        <w:rPr>
          <w:sz w:val="22"/>
        </w:rPr>
        <w:t>ε</w:t>
      </w:r>
      <w:r w:rsidRPr="002B4535">
        <w:rPr>
          <w:sz w:val="22"/>
        </w:rPr>
        <w:t>ων, η πολιτική αβεβαιότητα (</w:t>
      </w:r>
      <w:r w:rsidRPr="002B4535">
        <w:rPr>
          <w:sz w:val="22"/>
          <w:lang w:val="en-US"/>
        </w:rPr>
        <w:t>Brexit</w:t>
      </w:r>
      <w:r w:rsidRPr="002B4535">
        <w:rPr>
          <w:sz w:val="22"/>
        </w:rPr>
        <w:t xml:space="preserve">), η υποχώρηση του κλάδου της βιομηχανίας και η διάχυσή της και σε άλλους τομείς της οικονομίας, η χαμηλή παραγωγικότητα στο σύνολό της και η κλιματική αλλαγή αποτελούν βασικούς κινδύνους που αντιμετωπίζει η διεθνής οικονομία τόσο σε βραχυπρόθεσμο όσο και σε μακροπρόθεσμο επίπεδο. </w:t>
      </w:r>
    </w:p>
    <w:p w:rsidR="002B4535" w:rsidRPr="002B4535" w:rsidRDefault="002B4535" w:rsidP="00993C4C">
      <w:pPr>
        <w:pStyle w:val="10"/>
        <w:jc w:val="both"/>
        <w:rPr>
          <w:sz w:val="22"/>
        </w:rPr>
      </w:pPr>
    </w:p>
    <w:p w:rsidR="00AB1CFE" w:rsidRDefault="007A4F45" w:rsidP="00780119">
      <w:pPr>
        <w:jc w:val="both"/>
        <w:rPr>
          <w:rFonts w:ascii="Arial Narrow" w:hAnsi="Arial Narrow"/>
          <w:b/>
          <w:color w:val="000080"/>
        </w:rPr>
      </w:pPr>
      <w:r w:rsidRPr="007E3CB7">
        <w:rPr>
          <w:rFonts w:ascii="Arial Narrow" w:hAnsi="Arial Narrow"/>
          <w:b/>
          <w:color w:val="000080"/>
        </w:rPr>
        <w:t xml:space="preserve">Η ενιαία νομισματική πολιτική </w:t>
      </w:r>
      <w:r>
        <w:rPr>
          <w:rFonts w:ascii="Arial Narrow" w:hAnsi="Arial Narrow"/>
          <w:b/>
          <w:color w:val="000080"/>
        </w:rPr>
        <w:t>στη ζώνη του ευρώ</w:t>
      </w:r>
    </w:p>
    <w:p w:rsidR="00AB1CFE" w:rsidRPr="00C1118B" w:rsidRDefault="00AB1CFE" w:rsidP="00C1118B">
      <w:pPr>
        <w:pStyle w:val="10"/>
        <w:jc w:val="both"/>
        <w:rPr>
          <w:sz w:val="22"/>
          <w:szCs w:val="22"/>
        </w:rPr>
      </w:pPr>
    </w:p>
    <w:p w:rsidR="00C1118B" w:rsidRPr="0001698C" w:rsidRDefault="00C1118B" w:rsidP="00C1118B">
      <w:pPr>
        <w:jc w:val="both"/>
        <w:rPr>
          <w:sz w:val="22"/>
          <w:szCs w:val="22"/>
        </w:rPr>
      </w:pPr>
      <w:r w:rsidRPr="0001698C">
        <w:rPr>
          <w:sz w:val="22"/>
          <w:szCs w:val="22"/>
        </w:rPr>
        <w:t>Μετά τον ισχυρό ρυθμό ανάπτυξης που καταγράφηκε το 2017, η οικονομική δραστηριότητα στη ζώνη του ευρώ συνέχισε να ενισχύεται την επόμενη διετία με ρυθμό ο οποίος επιβραδύνθηκε σημαντικά, κυρίως στη διάρκεια του 2018. Συγκεκριμένα, ο ετήσιος ρυθμός ανόδου του πραγματικού ΑΕΠ στη ζώνη του ευρώ διαμορφώθηκε σε 1,1% το γ’ τρίμηνο του 2019 έναντι 1,2% το 2018 και 3% το 2017. Η επιβράδυνση αυτή αντανακλά κυρίως την επιβράδυνση της εξωτερικής ζήτησης στη ζώνη του ε</w:t>
      </w:r>
      <w:r w:rsidRPr="0001698C">
        <w:rPr>
          <w:sz w:val="22"/>
          <w:szCs w:val="22"/>
        </w:rPr>
        <w:t>υ</w:t>
      </w:r>
      <w:r w:rsidRPr="0001698C">
        <w:rPr>
          <w:sz w:val="22"/>
          <w:szCs w:val="22"/>
        </w:rPr>
        <w:t>ρώ, με αποτέλεσμα οι βραχυπρόθεσμες προοπτικές της ανάπτυξης να είναι ασθενέστερες από ό</w:t>
      </w:r>
      <w:r w:rsidR="00F20D8E">
        <w:rPr>
          <w:sz w:val="22"/>
          <w:szCs w:val="22"/>
        </w:rPr>
        <w:t>,</w:t>
      </w:r>
      <w:r w:rsidRPr="0001698C">
        <w:rPr>
          <w:sz w:val="22"/>
          <w:szCs w:val="22"/>
        </w:rPr>
        <w:t>τι α</w:t>
      </w:r>
      <w:r w:rsidRPr="0001698C">
        <w:rPr>
          <w:sz w:val="22"/>
          <w:szCs w:val="22"/>
        </w:rPr>
        <w:t>ρ</w:t>
      </w:r>
      <w:r w:rsidRPr="0001698C">
        <w:rPr>
          <w:sz w:val="22"/>
          <w:szCs w:val="22"/>
        </w:rPr>
        <w:t>χικά αναμενόταν. Ωστόσο, η οικονομική ανάκαμψη στη ζώνη του ευρώ εκτιμάται ότι θα συνεχιστεί ελαφρά επιταχυνόμενη τα αμέσως επόμενα έτη. Η εξωτερική ζήτηση αναμένεται να εξακολουθήσει να επηρεάζει θετικά τις εξαγωγές, ενώ η διατήρηση των ευνοϊκών χρηματοδοτικών συνθηκών και της πολύ διευκολυντικής κατεύθυνσης της νομισματικής πολιτικής στη ζώνη του ευρώ, καθώς και η π</w:t>
      </w:r>
      <w:r w:rsidRPr="0001698C">
        <w:rPr>
          <w:sz w:val="22"/>
          <w:szCs w:val="22"/>
        </w:rPr>
        <w:t>ε</w:t>
      </w:r>
      <w:r w:rsidRPr="0001698C">
        <w:rPr>
          <w:sz w:val="22"/>
          <w:szCs w:val="22"/>
        </w:rPr>
        <w:t xml:space="preserve">ραιτέρω βελτίωση στην απασχόληση και την αμοιβή της εργασίας, προβλέπεται να εξακολουθήσουν να στηρίζουν την εσωτερική ζήτηση. Οι κίνδυνοι για τις προοπτικές της οικονομικής δραστηριότητας στη ζώνη του ευρώ ωστόσο θεωρούνται μειούμενοι και συνδέονται με γεωπολιτικούς κινδύνους, με την τάση ενίσχυσης του προστατευτισμού στο διεθνές εμπόριο καθώς και με ορισμένες δυσμενείς </w:t>
      </w:r>
      <w:r w:rsidRPr="0001698C">
        <w:rPr>
          <w:sz w:val="22"/>
          <w:szCs w:val="22"/>
        </w:rPr>
        <w:t>ε</w:t>
      </w:r>
      <w:r w:rsidRPr="0001698C">
        <w:rPr>
          <w:sz w:val="22"/>
          <w:szCs w:val="22"/>
        </w:rPr>
        <w:t>ξελίξεις που παρατηρούνται στις αναδυόμενες αγορές.</w:t>
      </w:r>
      <w:r>
        <w:rPr>
          <w:sz w:val="22"/>
          <w:szCs w:val="22"/>
        </w:rPr>
        <w:t xml:space="preserve"> </w:t>
      </w:r>
    </w:p>
    <w:p w:rsidR="00C1118B" w:rsidRPr="00112EBE" w:rsidRDefault="00C1118B" w:rsidP="00C1118B">
      <w:pPr>
        <w:jc w:val="both"/>
        <w:rPr>
          <w:sz w:val="22"/>
          <w:szCs w:val="22"/>
        </w:rPr>
      </w:pPr>
    </w:p>
    <w:p w:rsidR="00C1118B" w:rsidRPr="0001698C" w:rsidRDefault="00C1118B" w:rsidP="00C1118B">
      <w:pPr>
        <w:jc w:val="both"/>
        <w:rPr>
          <w:sz w:val="22"/>
          <w:szCs w:val="22"/>
        </w:rPr>
      </w:pPr>
      <w:r w:rsidRPr="0001698C">
        <w:rPr>
          <w:sz w:val="22"/>
          <w:szCs w:val="22"/>
        </w:rPr>
        <w:t>Ο ρυθμός πληθωρισμού στη ζώνη του ευρώ παρουσίασε από το τελευταίο τρίμηνο του 2018 και μετά σημαντική επιβράδυνση, κυρίως λόγω της υποχώρησης των τιμών της ενέργειας και σε μικρότερο βαθμό των</w:t>
      </w:r>
      <w:r>
        <w:rPr>
          <w:sz w:val="22"/>
          <w:szCs w:val="22"/>
        </w:rPr>
        <w:t xml:space="preserve"> </w:t>
      </w:r>
      <w:r w:rsidRPr="0001698C">
        <w:rPr>
          <w:sz w:val="22"/>
          <w:szCs w:val="22"/>
        </w:rPr>
        <w:t xml:space="preserve">τροφίμων (Οκτώβριος 2019: 0,7%, Δεκ. 2018: 1,5%). Ο πυρήνας του πληθωρισμού (δηλ. ο ρυθμός μεταβολής των τιμών εκτός ενέργειας και ειδών διατροφής) παρέμεινε γενικά υποτονικός και σχετικά σταθερός από τα μέσα του 2017 και μετά, κυμαινόμενος γύρω από το 1% (Οκτώβριος 2019: 1,1%, Δεκέμβριος 2018: 0,9%), ενώ και οι πληθωριστικές προσδοκίες κυμαίνονται πλέον σε ιστορικά χαμηλά επίπεδα. </w:t>
      </w:r>
    </w:p>
    <w:p w:rsidR="00F55460" w:rsidRPr="00112EBE" w:rsidRDefault="00F55460" w:rsidP="00C1118B">
      <w:pPr>
        <w:jc w:val="both"/>
        <w:rPr>
          <w:sz w:val="22"/>
          <w:szCs w:val="22"/>
        </w:rPr>
      </w:pPr>
    </w:p>
    <w:p w:rsidR="00C1118B" w:rsidRPr="0001698C" w:rsidRDefault="00C1118B" w:rsidP="00C1118B">
      <w:pPr>
        <w:jc w:val="both"/>
        <w:rPr>
          <w:sz w:val="22"/>
          <w:szCs w:val="22"/>
        </w:rPr>
      </w:pPr>
      <w:r w:rsidRPr="0001698C">
        <w:rPr>
          <w:sz w:val="22"/>
          <w:szCs w:val="22"/>
        </w:rPr>
        <w:t xml:space="preserve">Σύμφωνα με τις πλέον πρόσφατες μακροοικονομικές προβολές της Ευρωπαϊκής Κεντρικής Τράπεζας (ΕΚΤ) (Σεπτέμβριος 2019), ο ετήσιος ρυθμός πληθωρισμού αναμένεται να διαμορφωθεί κατά μέσο όρο στα κράτη-μέλη της ζώνης του ευρώ σε 1,2% για το 2019, σε 1,0% το 2020 και σε 1,5% το 2021. Ο πυρήνας του πληθωρισμού αναμένεται να ενισχυθεί μεσοπρόθεσμα, ως αποτέλεσμα των μέτρων </w:t>
      </w:r>
      <w:r w:rsidRPr="0001698C">
        <w:rPr>
          <w:sz w:val="22"/>
          <w:szCs w:val="22"/>
        </w:rPr>
        <w:lastRenderedPageBreak/>
        <w:t>νομισματικής πολιτικής, της σταθερής αύξησης του κόστους εργασίας και της συνέχισης της οικον</w:t>
      </w:r>
      <w:r w:rsidRPr="0001698C">
        <w:rPr>
          <w:sz w:val="22"/>
          <w:szCs w:val="22"/>
        </w:rPr>
        <w:t>ο</w:t>
      </w:r>
      <w:r w:rsidRPr="0001698C">
        <w:rPr>
          <w:sz w:val="22"/>
          <w:szCs w:val="22"/>
        </w:rPr>
        <w:t>μικής ανάκαμψης στη ζώνη του ευρώ.</w:t>
      </w:r>
    </w:p>
    <w:p w:rsidR="00F55460" w:rsidRPr="00112EBE" w:rsidRDefault="00F55460" w:rsidP="00C1118B">
      <w:pPr>
        <w:jc w:val="both"/>
        <w:rPr>
          <w:sz w:val="22"/>
          <w:szCs w:val="22"/>
        </w:rPr>
      </w:pPr>
    </w:p>
    <w:p w:rsidR="00C1118B" w:rsidRPr="0001698C" w:rsidRDefault="00C1118B" w:rsidP="00C1118B">
      <w:pPr>
        <w:jc w:val="both"/>
        <w:rPr>
          <w:sz w:val="22"/>
          <w:szCs w:val="22"/>
        </w:rPr>
      </w:pPr>
      <w:r w:rsidRPr="0001698C">
        <w:rPr>
          <w:sz w:val="22"/>
          <w:szCs w:val="22"/>
        </w:rPr>
        <w:t>Το 2019 η κατεύθυνση της ενιαίας νομισματικής πολιτικής του Ευρωσυστήματος διατηρήθηκε πολύ διευκολυντική, προκειμένου να διασφαλισθεί ότι ο ετήσιος ρυθμός πληθωρισμού στη ζώνη του ευρώ θα επανέλθει μεσοπρόθεσμα σε επίπεδα λίγο χαμηλότερα του 2% ώστε να αποκατασταθεί η σταθερ</w:t>
      </w:r>
      <w:r w:rsidRPr="0001698C">
        <w:rPr>
          <w:sz w:val="22"/>
          <w:szCs w:val="22"/>
        </w:rPr>
        <w:t>ό</w:t>
      </w:r>
      <w:r w:rsidRPr="0001698C">
        <w:rPr>
          <w:sz w:val="22"/>
          <w:szCs w:val="22"/>
        </w:rPr>
        <w:t>τητα των τιμών, η οποία αποτελεί τον πρωταρχικό στόχο του Ευρωσυστήματος. Στη διάρκεια του 2019 το Διοικητικό Συμβούλιο της ΕΚΤ τόνιζε την ανάγκη διατήρησης πολύ διευκολυντικής νομ</w:t>
      </w:r>
      <w:r w:rsidRPr="0001698C">
        <w:rPr>
          <w:sz w:val="22"/>
          <w:szCs w:val="22"/>
        </w:rPr>
        <w:t>ι</w:t>
      </w:r>
      <w:r w:rsidRPr="0001698C">
        <w:rPr>
          <w:sz w:val="22"/>
          <w:szCs w:val="22"/>
        </w:rPr>
        <w:t>σματικής πολιτικής για μεγάλο χρονικό διάστημα, καθώς οι πληθωριστικές πιέσεις παρέμεναν γενικά υποτονικές και οι δείκτες των πληθωριστικών προσδοκιών είχαν υποχωρήσει, ενώ ταυτόχρονα επεσ</w:t>
      </w:r>
      <w:r w:rsidRPr="0001698C">
        <w:rPr>
          <w:sz w:val="22"/>
          <w:szCs w:val="22"/>
        </w:rPr>
        <w:t>ή</w:t>
      </w:r>
      <w:r w:rsidRPr="0001698C">
        <w:rPr>
          <w:sz w:val="22"/>
          <w:szCs w:val="22"/>
        </w:rPr>
        <w:t>μανε τις ασθενέστερες προοπτικές της οικονομικής ανάπτυξης στη ζώνη του ευρώ. Το Σεπτέμβριο του 2019, το ΔΣ της ΕΚΤ αποφάσισε να μειώσει περαιτέρω το επιτόκιο στη διευκόλυνση αποδοχής κατ</w:t>
      </w:r>
      <w:r w:rsidRPr="0001698C">
        <w:rPr>
          <w:sz w:val="22"/>
          <w:szCs w:val="22"/>
        </w:rPr>
        <w:t>α</w:t>
      </w:r>
      <w:r w:rsidRPr="0001698C">
        <w:rPr>
          <w:sz w:val="22"/>
          <w:szCs w:val="22"/>
        </w:rPr>
        <w:t>θέσεων του Ευρωσυστήματος κατά 10 μονάδες βάσης σε -0,50%.</w:t>
      </w:r>
      <w:r w:rsidRPr="0001698C">
        <w:rPr>
          <w:rStyle w:val="a9"/>
          <w:sz w:val="22"/>
          <w:szCs w:val="22"/>
        </w:rPr>
        <w:footnoteReference w:id="5"/>
      </w:r>
      <w:r w:rsidRPr="0001698C">
        <w:rPr>
          <w:sz w:val="22"/>
          <w:szCs w:val="22"/>
        </w:rPr>
        <w:t xml:space="preserve"> </w:t>
      </w:r>
    </w:p>
    <w:p w:rsidR="00F55460" w:rsidRPr="00846762" w:rsidRDefault="00F55460" w:rsidP="00C1118B">
      <w:pPr>
        <w:jc w:val="both"/>
        <w:rPr>
          <w:sz w:val="22"/>
          <w:szCs w:val="22"/>
        </w:rPr>
      </w:pPr>
    </w:p>
    <w:p w:rsidR="00C1118B" w:rsidRPr="0001698C" w:rsidRDefault="00C1118B" w:rsidP="00C1118B">
      <w:pPr>
        <w:jc w:val="both"/>
        <w:rPr>
          <w:sz w:val="22"/>
          <w:szCs w:val="22"/>
        </w:rPr>
      </w:pPr>
      <w:r w:rsidRPr="0001698C">
        <w:rPr>
          <w:sz w:val="22"/>
          <w:szCs w:val="22"/>
        </w:rPr>
        <w:t>Την περίοδο Ιανουαρίου-Οκτωβρίου 2019 η διεξαγωγή του διευρυμένου προγράμματος αγοράς τί</w:t>
      </w:r>
      <w:r w:rsidRPr="0001698C">
        <w:rPr>
          <w:sz w:val="22"/>
          <w:szCs w:val="22"/>
        </w:rPr>
        <w:t>τ</w:t>
      </w:r>
      <w:r w:rsidRPr="0001698C">
        <w:rPr>
          <w:sz w:val="22"/>
          <w:szCs w:val="22"/>
        </w:rPr>
        <w:t>λων</w:t>
      </w:r>
      <w:r w:rsidRPr="0001698C">
        <w:rPr>
          <w:rStyle w:val="a9"/>
          <w:sz w:val="22"/>
          <w:szCs w:val="22"/>
        </w:rPr>
        <w:footnoteReference w:id="6"/>
      </w:r>
      <w:r w:rsidRPr="0001698C">
        <w:rPr>
          <w:sz w:val="22"/>
          <w:szCs w:val="22"/>
        </w:rPr>
        <w:t xml:space="preserve"> συνεχίστηκε αποκλειστικά μέσω της επανεπένδυσης των κεφαλαίων που αποπληρώνονταν, λόγω ωρίμανσης των χρεογράφων που είχαν αποκτηθεί προηγουμένως στο πλαίσιο του προγράμματος, κ</w:t>
      </w:r>
      <w:r w:rsidRPr="0001698C">
        <w:rPr>
          <w:sz w:val="22"/>
          <w:szCs w:val="22"/>
        </w:rPr>
        <w:t>α</w:t>
      </w:r>
      <w:r w:rsidRPr="0001698C">
        <w:rPr>
          <w:sz w:val="22"/>
          <w:szCs w:val="22"/>
        </w:rPr>
        <w:t>θώς είχε αποφασιστεί (στα μέσα του 2018) μηδενισμός των καθαρών αγορών από τις αρχές του τρ</w:t>
      </w:r>
      <w:r w:rsidRPr="0001698C">
        <w:rPr>
          <w:sz w:val="22"/>
          <w:szCs w:val="22"/>
        </w:rPr>
        <w:t>έ</w:t>
      </w:r>
      <w:r w:rsidRPr="0001698C">
        <w:rPr>
          <w:sz w:val="22"/>
          <w:szCs w:val="22"/>
        </w:rPr>
        <w:t>χοντος έτους. Ωστόσο, το Σεπτέμβριο του 2019 το ΔΣ της ΕΚΤ αποφάσισε να επανεκκινήσει από το Νοέμβριο του τρέχοντος έτους τις καθαρές αγορές στο πλαίσιο του προγράμματος αυτού, το ύψος των οποίων θ</w:t>
      </w:r>
      <w:r w:rsidR="00B970E9">
        <w:rPr>
          <w:sz w:val="22"/>
          <w:szCs w:val="22"/>
        </w:rPr>
        <w:t>α ανέρχεται μηνιαίως σε 20 δισ</w:t>
      </w:r>
      <w:r w:rsidRPr="0001698C">
        <w:rPr>
          <w:sz w:val="22"/>
          <w:szCs w:val="22"/>
        </w:rPr>
        <w:t>. ευρώ. Οι καθαρές αγορές αναμένεται να συνεχιστούν όσο κρίνεται απαραίτητο για την ενίσχυση της διευκολυντικής επίδρασης των πολύ χαμηλών επιτοκίων πολιτικής και να ολοκληρωθούν λίγο πριν τα επιτόκια αυτά αρχίσουν να αυξάνονται. Ωστόσο, η πολ</w:t>
      </w:r>
      <w:r w:rsidRPr="0001698C">
        <w:rPr>
          <w:sz w:val="22"/>
          <w:szCs w:val="22"/>
        </w:rPr>
        <w:t>ι</w:t>
      </w:r>
      <w:r w:rsidRPr="0001698C">
        <w:rPr>
          <w:sz w:val="22"/>
          <w:szCs w:val="22"/>
        </w:rPr>
        <w:t>τική των επανεπενδύσεων, υπό το πρίσμα του σημαντικού μεγέθους που έχει λάβει πλέον το χαρτ</w:t>
      </w:r>
      <w:r w:rsidRPr="0001698C">
        <w:rPr>
          <w:sz w:val="22"/>
          <w:szCs w:val="22"/>
        </w:rPr>
        <w:t>ο</w:t>
      </w:r>
      <w:r w:rsidRPr="0001698C">
        <w:rPr>
          <w:sz w:val="22"/>
          <w:szCs w:val="22"/>
        </w:rPr>
        <w:t>φυλάκιο τίτλων του Ευρωσυστήματος, αναμένεται να συνεχιστεί για μακρά χρονική περίοδο μετά την ημερομηνία αύξησης των επιτοκίων από την ΕΚΤ και για όσο χρονικό διάστημα κρίνεται αναγκαίο να διατηρηθούν πολύ διευκολυντικές νομισματικές συνθήκες.</w:t>
      </w:r>
    </w:p>
    <w:p w:rsidR="00F55460" w:rsidRDefault="00F55460" w:rsidP="00C1118B">
      <w:pPr>
        <w:jc w:val="both"/>
        <w:rPr>
          <w:sz w:val="22"/>
          <w:szCs w:val="22"/>
        </w:rPr>
      </w:pPr>
    </w:p>
    <w:p w:rsidR="00C1118B" w:rsidRDefault="00C1118B" w:rsidP="00C1118B">
      <w:pPr>
        <w:jc w:val="both"/>
        <w:rPr>
          <w:sz w:val="22"/>
          <w:szCs w:val="22"/>
        </w:rPr>
      </w:pPr>
      <w:r w:rsidRPr="0001698C">
        <w:rPr>
          <w:sz w:val="22"/>
          <w:szCs w:val="22"/>
        </w:rPr>
        <w:t>Το</w:t>
      </w:r>
      <w:r w:rsidR="00F55460">
        <w:rPr>
          <w:sz w:val="22"/>
          <w:szCs w:val="22"/>
        </w:rPr>
        <w:t>ν</w:t>
      </w:r>
      <w:r w:rsidRPr="0001698C">
        <w:rPr>
          <w:sz w:val="22"/>
          <w:szCs w:val="22"/>
        </w:rPr>
        <w:t xml:space="preserve"> Μάρτιο του 2019 αποφασίστηκε η διεξαγωγή από το Σεπτέμβριο 2019</w:t>
      </w:r>
      <w:r w:rsidR="00D07D7B">
        <w:rPr>
          <w:sz w:val="22"/>
          <w:szCs w:val="22"/>
        </w:rPr>
        <w:t>,</w:t>
      </w:r>
      <w:r w:rsidRPr="0001698C">
        <w:rPr>
          <w:sz w:val="22"/>
          <w:szCs w:val="22"/>
        </w:rPr>
        <w:t xml:space="preserve"> ανά τρίμηνο</w:t>
      </w:r>
      <w:r w:rsidR="00D07D7B">
        <w:rPr>
          <w:sz w:val="22"/>
          <w:szCs w:val="22"/>
        </w:rPr>
        <w:t>,</w:t>
      </w:r>
      <w:r w:rsidRPr="0001698C">
        <w:rPr>
          <w:sz w:val="22"/>
          <w:szCs w:val="22"/>
        </w:rPr>
        <w:t xml:space="preserve"> τρίτης σε</w:t>
      </w:r>
      <w:r w:rsidRPr="0001698C">
        <w:rPr>
          <w:sz w:val="22"/>
          <w:szCs w:val="22"/>
        </w:rPr>
        <w:t>ι</w:t>
      </w:r>
      <w:r w:rsidRPr="0001698C">
        <w:rPr>
          <w:sz w:val="22"/>
          <w:szCs w:val="22"/>
        </w:rPr>
        <w:t>ράς στοχευμένων πράξεων μακροπρόθεσμης αναχρηματοδότησης (</w:t>
      </w:r>
      <w:r w:rsidRPr="0001698C">
        <w:rPr>
          <w:sz w:val="22"/>
          <w:szCs w:val="22"/>
          <w:lang w:val="en-US"/>
        </w:rPr>
        <w:t>TLTRO</w:t>
      </w:r>
      <w:r w:rsidRPr="0001698C">
        <w:rPr>
          <w:sz w:val="22"/>
          <w:szCs w:val="22"/>
        </w:rPr>
        <w:t>-</w:t>
      </w:r>
      <w:r w:rsidRPr="0001698C">
        <w:rPr>
          <w:sz w:val="22"/>
          <w:szCs w:val="22"/>
          <w:lang w:val="en-US"/>
        </w:rPr>
        <w:t>III</w:t>
      </w:r>
      <w:r w:rsidRPr="0001698C">
        <w:rPr>
          <w:sz w:val="22"/>
          <w:szCs w:val="22"/>
        </w:rPr>
        <w:t>), με σκοπό τη διατ</w:t>
      </w:r>
      <w:r w:rsidRPr="0001698C">
        <w:rPr>
          <w:sz w:val="22"/>
          <w:szCs w:val="22"/>
        </w:rPr>
        <w:t>ή</w:t>
      </w:r>
      <w:r w:rsidRPr="0001698C">
        <w:rPr>
          <w:sz w:val="22"/>
          <w:szCs w:val="22"/>
        </w:rPr>
        <w:t xml:space="preserve">ρηση ευνοϊκών όρων τραπεζικής χρηματοδότησης των επιχειρήσεων και των νοικοκυριών και την </w:t>
      </w:r>
      <w:r w:rsidRPr="0001698C">
        <w:rPr>
          <w:sz w:val="22"/>
          <w:szCs w:val="22"/>
        </w:rPr>
        <w:t>ε</w:t>
      </w:r>
      <w:r w:rsidRPr="0001698C">
        <w:rPr>
          <w:sz w:val="22"/>
          <w:szCs w:val="22"/>
        </w:rPr>
        <w:t>νίσχυση του μηχανισμού μετάδοσης της νομισματικής πολιτικής στην πραγματική οικονομία. Μετά τις τροποποιήσεις των αρχικών όρων που έγιναν το Σεπτέμβριο του 2019 ώστε να επιτευχθεί ακόμη πιο επεκτατικό αποτέλεσμα, η διάρκεια των πράξεων προβλέπεται 3ετ</w:t>
      </w:r>
      <w:r w:rsidR="00F20D8E">
        <w:rPr>
          <w:sz w:val="22"/>
          <w:szCs w:val="22"/>
        </w:rPr>
        <w:t>ή</w:t>
      </w:r>
      <w:r w:rsidRPr="0001698C">
        <w:rPr>
          <w:sz w:val="22"/>
          <w:szCs w:val="22"/>
        </w:rPr>
        <w:t>ς και το επιτόκιο στις πράξεις αυτές προβλέπεται ίσο με το μέσο όρο του επιτοκίου στις πράξεις κύριας αναχρηματοδότησης του Ευρωσυστήματος, όπως αυτό θα διαμορφωθεί κατά τη διάρκεια κάθε στοχευμένης πράξης. Προβλ</w:t>
      </w:r>
      <w:r w:rsidRPr="0001698C">
        <w:rPr>
          <w:sz w:val="22"/>
          <w:szCs w:val="22"/>
        </w:rPr>
        <w:t>έ</w:t>
      </w:r>
      <w:r w:rsidRPr="0001698C">
        <w:rPr>
          <w:sz w:val="22"/>
          <w:szCs w:val="22"/>
        </w:rPr>
        <w:t>πεται επίσης δυνατότητα εθελοντικής πρόωρης μερικής ή ολικής αποπληρωμής ανά τρίμηνο (μετά την πάροδο 24 μηνών από την ημερομηνία διακανονισμού κάθε στοχευμένης πράξης) των ποσών που θα έχουν αντληθεί μέσω TLTRO-IΙΙ. Οι τράπεζες που θα χορηγήσουν επαρκείς πιστώσεις προς την πραγματική οικονομία, δηλ. πιστώσεις πάνω από ένα προκαθορισμένο όριο αναφοράς, απολαμβάνουν μειωμένου επιτοκίου χρηματοδότησης από το Ευρωσύστημα, το οποίο μπορεί να φτάσει μέχρι το μ</w:t>
      </w:r>
      <w:r w:rsidRPr="0001698C">
        <w:rPr>
          <w:sz w:val="22"/>
          <w:szCs w:val="22"/>
        </w:rPr>
        <w:t>έ</w:t>
      </w:r>
      <w:r w:rsidRPr="0001698C">
        <w:rPr>
          <w:sz w:val="22"/>
          <w:szCs w:val="22"/>
        </w:rPr>
        <w:t>σο επιτόκιο στην πάγια διευκόλυνση αποδοχής καταθέσεων κατά τη διάρκεια κάθε στοχευμένης πρ</w:t>
      </w:r>
      <w:r w:rsidRPr="0001698C">
        <w:rPr>
          <w:sz w:val="22"/>
          <w:szCs w:val="22"/>
        </w:rPr>
        <w:t>ά</w:t>
      </w:r>
      <w:r w:rsidRPr="0001698C">
        <w:rPr>
          <w:sz w:val="22"/>
          <w:szCs w:val="22"/>
        </w:rPr>
        <w:t xml:space="preserve">ξης. Η έκταση της μείωσης του επιτοκίου είναι ανάλογη με το βαθμό κατά τον οποίο η πιστοδοτική δραστηριότητα κάθε τράπεζας </w:t>
      </w:r>
      <w:r w:rsidR="00F20D8E">
        <w:rPr>
          <w:sz w:val="22"/>
          <w:szCs w:val="22"/>
        </w:rPr>
        <w:t>σ</w:t>
      </w:r>
      <w:r w:rsidRPr="0001698C">
        <w:rPr>
          <w:sz w:val="22"/>
          <w:szCs w:val="22"/>
        </w:rPr>
        <w:t xml:space="preserve">την περίοδο 1 Απριλίου 2019 - 31 Μαρτίου 2021 θα έχει υπερβεί το όριο αναφοράς. </w:t>
      </w:r>
    </w:p>
    <w:p w:rsidR="004D6077" w:rsidRPr="0001698C" w:rsidRDefault="004D6077" w:rsidP="00C1118B">
      <w:pPr>
        <w:jc w:val="both"/>
        <w:rPr>
          <w:sz w:val="22"/>
          <w:szCs w:val="22"/>
        </w:rPr>
      </w:pPr>
    </w:p>
    <w:p w:rsidR="00C1118B" w:rsidRPr="0001698C" w:rsidRDefault="00C1118B" w:rsidP="00C1118B">
      <w:pPr>
        <w:jc w:val="both"/>
        <w:rPr>
          <w:sz w:val="22"/>
          <w:szCs w:val="22"/>
        </w:rPr>
      </w:pPr>
      <w:r w:rsidRPr="0001698C">
        <w:rPr>
          <w:sz w:val="22"/>
          <w:szCs w:val="22"/>
        </w:rPr>
        <w:t>Επίσης, με σκοπό τη διευκόλυνση της μετάδοσης των επιδράσεων της νομισματικής πολιτικής μέσω των τραπεζών,</w:t>
      </w:r>
      <w:r>
        <w:rPr>
          <w:sz w:val="22"/>
          <w:szCs w:val="22"/>
        </w:rPr>
        <w:t xml:space="preserve"> </w:t>
      </w:r>
      <w:r w:rsidRPr="0001698C">
        <w:rPr>
          <w:sz w:val="22"/>
          <w:szCs w:val="22"/>
        </w:rPr>
        <w:t>το Σεπτέμβριο του 2019, το ΔΣ της ΕΚΤ αποφάσισε να εισαγάγει σύστημα δύο βαθμ</w:t>
      </w:r>
      <w:r w:rsidRPr="0001698C">
        <w:rPr>
          <w:sz w:val="22"/>
          <w:szCs w:val="22"/>
        </w:rPr>
        <w:t>ί</w:t>
      </w:r>
      <w:r w:rsidRPr="0001698C">
        <w:rPr>
          <w:sz w:val="22"/>
          <w:szCs w:val="22"/>
        </w:rPr>
        <w:t>δων για τον εκτοκισμό των αποθεματικών που τηρούν οι εμπορικές τράπεζες στην κεντρική τράπεζα,</w:t>
      </w:r>
      <w:r>
        <w:rPr>
          <w:sz w:val="22"/>
          <w:szCs w:val="22"/>
        </w:rPr>
        <w:t xml:space="preserve"> </w:t>
      </w:r>
      <w:r w:rsidRPr="0001698C">
        <w:rPr>
          <w:sz w:val="22"/>
          <w:szCs w:val="22"/>
        </w:rPr>
        <w:lastRenderedPageBreak/>
        <w:t>με βάση το οποίο, τμήμα της υπερβάλλουσας ρευστότητας που διακρατείται, θα εξαιρείται από το α</w:t>
      </w:r>
      <w:r w:rsidRPr="0001698C">
        <w:rPr>
          <w:sz w:val="22"/>
          <w:szCs w:val="22"/>
        </w:rPr>
        <w:t>ρ</w:t>
      </w:r>
      <w:r w:rsidRPr="0001698C">
        <w:rPr>
          <w:sz w:val="22"/>
          <w:szCs w:val="22"/>
        </w:rPr>
        <w:t>νητικό επιτόκιο αποδοχής καταθέσεων.</w:t>
      </w:r>
    </w:p>
    <w:p w:rsidR="00F55460" w:rsidRDefault="00F55460" w:rsidP="00C1118B">
      <w:pPr>
        <w:jc w:val="both"/>
        <w:rPr>
          <w:sz w:val="22"/>
          <w:szCs w:val="22"/>
        </w:rPr>
      </w:pPr>
    </w:p>
    <w:p w:rsidR="00C1118B" w:rsidRPr="0001698C" w:rsidRDefault="00C1118B" w:rsidP="00C1118B">
      <w:pPr>
        <w:jc w:val="both"/>
        <w:rPr>
          <w:sz w:val="22"/>
          <w:szCs w:val="22"/>
        </w:rPr>
      </w:pPr>
      <w:r w:rsidRPr="0001698C">
        <w:rPr>
          <w:sz w:val="22"/>
          <w:szCs w:val="22"/>
        </w:rPr>
        <w:t>Τέλος, το 2019 συνεχίστηκε η διεξαγωγή των πράξεων κύριας αναχρηματοδότησης και πιο μακρ</w:t>
      </w:r>
      <w:r w:rsidRPr="0001698C">
        <w:rPr>
          <w:sz w:val="22"/>
          <w:szCs w:val="22"/>
        </w:rPr>
        <w:t>ο</w:t>
      </w:r>
      <w:r w:rsidRPr="0001698C">
        <w:rPr>
          <w:sz w:val="22"/>
          <w:szCs w:val="22"/>
        </w:rPr>
        <w:t>πρόθεσμης αναχρηματοδότησης, οι οποίες αναμένεται να διεξάγονται ως δημοπρασίες σταθερού επ</w:t>
      </w:r>
      <w:r w:rsidRPr="0001698C">
        <w:rPr>
          <w:sz w:val="22"/>
          <w:szCs w:val="22"/>
        </w:rPr>
        <w:t>ι</w:t>
      </w:r>
      <w:r w:rsidRPr="0001698C">
        <w:rPr>
          <w:sz w:val="22"/>
          <w:szCs w:val="22"/>
        </w:rPr>
        <w:t>τοκίου, χωρίς ποσοτικό περιορισμό της χορηγούμενης ρευστότητας τουλάχιστον μέχρι τους πρώτους μήνες του 2021.</w:t>
      </w:r>
    </w:p>
    <w:p w:rsidR="00993C4C" w:rsidRPr="00C1118B" w:rsidRDefault="00993C4C" w:rsidP="00C1118B">
      <w:pPr>
        <w:pStyle w:val="10"/>
        <w:jc w:val="both"/>
        <w:rPr>
          <w:sz w:val="22"/>
          <w:szCs w:val="22"/>
        </w:rPr>
      </w:pPr>
    </w:p>
    <w:p w:rsidR="00AB1CFE" w:rsidRDefault="00AB1CFE" w:rsidP="00780119">
      <w:pPr>
        <w:pStyle w:val="10"/>
        <w:jc w:val="both"/>
        <w:rPr>
          <w:sz w:val="22"/>
          <w:szCs w:val="22"/>
        </w:rPr>
      </w:pPr>
    </w:p>
    <w:p w:rsidR="006D618D" w:rsidRPr="00944AEC" w:rsidRDefault="006D618D" w:rsidP="00780119">
      <w:pPr>
        <w:shd w:val="clear" w:color="auto" w:fill="595959"/>
        <w:jc w:val="both"/>
        <w:rPr>
          <w:rFonts w:ascii="Arial Narrow" w:hAnsi="Arial Narrow"/>
          <w:b/>
          <w:color w:val="FFFFFF"/>
          <w:sz w:val="26"/>
          <w:szCs w:val="26"/>
        </w:rPr>
      </w:pPr>
      <w:r w:rsidRPr="00944AEC">
        <w:rPr>
          <w:rFonts w:ascii="Arial Narrow" w:hAnsi="Arial Narrow"/>
          <w:b/>
          <w:color w:val="FFFFFF"/>
        </w:rPr>
        <w:t>2.</w:t>
      </w:r>
      <w:r w:rsidRPr="00944AEC">
        <w:rPr>
          <w:rFonts w:ascii="Arial Narrow" w:hAnsi="Arial Narrow"/>
          <w:b/>
          <w:color w:val="FFFFFF"/>
          <w:sz w:val="26"/>
          <w:szCs w:val="26"/>
        </w:rPr>
        <w:tab/>
        <w:t>Οι οικονομικές εξελίξεις στην Ελλάδα</w:t>
      </w:r>
    </w:p>
    <w:p w:rsidR="006D618D" w:rsidRDefault="006D618D" w:rsidP="00780119">
      <w:pPr>
        <w:pStyle w:val="10"/>
        <w:jc w:val="both"/>
      </w:pPr>
    </w:p>
    <w:p w:rsidR="006D618D" w:rsidRPr="006E219D" w:rsidRDefault="006D618D" w:rsidP="00780119">
      <w:pPr>
        <w:ind w:left="567" w:hanging="567"/>
        <w:jc w:val="both"/>
        <w:rPr>
          <w:rFonts w:ascii="Arial Narrow" w:hAnsi="Arial Narrow"/>
          <w:b/>
          <w:color w:val="000080"/>
          <w:szCs w:val="22"/>
        </w:rPr>
      </w:pPr>
      <w:r w:rsidRPr="006E219D">
        <w:rPr>
          <w:rFonts w:ascii="Arial Narrow" w:hAnsi="Arial Narrow"/>
          <w:b/>
          <w:color w:val="000080"/>
          <w:szCs w:val="22"/>
        </w:rPr>
        <w:t>2.1</w:t>
      </w:r>
      <w:r w:rsidRPr="006E219D">
        <w:rPr>
          <w:rFonts w:ascii="Arial Narrow" w:hAnsi="Arial Narrow"/>
          <w:b/>
          <w:color w:val="000080"/>
          <w:szCs w:val="22"/>
        </w:rPr>
        <w:tab/>
        <w:t xml:space="preserve">Γενική </w:t>
      </w:r>
      <w:r>
        <w:rPr>
          <w:rFonts w:ascii="Arial Narrow" w:hAnsi="Arial Narrow"/>
          <w:b/>
          <w:color w:val="000080"/>
          <w:szCs w:val="22"/>
        </w:rPr>
        <w:t>επισκόπηση της ε</w:t>
      </w:r>
      <w:r w:rsidRPr="006E219D">
        <w:rPr>
          <w:rFonts w:ascii="Arial Narrow" w:hAnsi="Arial Narrow"/>
          <w:b/>
          <w:color w:val="000080"/>
          <w:szCs w:val="22"/>
        </w:rPr>
        <w:t>λληνικής οικονομίας</w:t>
      </w:r>
    </w:p>
    <w:p w:rsidR="00CF6AC6" w:rsidRPr="00CF6AC6" w:rsidRDefault="00CF6AC6" w:rsidP="00CF6AC6">
      <w:pPr>
        <w:jc w:val="both"/>
        <w:rPr>
          <w:sz w:val="22"/>
          <w:szCs w:val="22"/>
        </w:rPr>
      </w:pPr>
    </w:p>
    <w:p w:rsidR="00CF6AC6" w:rsidRPr="00CF6AC6" w:rsidRDefault="00CF6AC6" w:rsidP="00CF6AC6">
      <w:pPr>
        <w:jc w:val="both"/>
        <w:rPr>
          <w:sz w:val="22"/>
          <w:szCs w:val="22"/>
        </w:rPr>
      </w:pPr>
      <w:r w:rsidRPr="00CF6AC6">
        <w:rPr>
          <w:sz w:val="22"/>
          <w:szCs w:val="22"/>
        </w:rPr>
        <w:t>Το 2019 αποτελεί για την Ελλάδα έτος σταδιακής μετάβασης σε μία περίοδο ευνοϊκότερων οικονομ</w:t>
      </w:r>
      <w:r w:rsidRPr="00CF6AC6">
        <w:rPr>
          <w:sz w:val="22"/>
          <w:szCs w:val="22"/>
        </w:rPr>
        <w:t>ι</w:t>
      </w:r>
      <w:r w:rsidRPr="00CF6AC6">
        <w:rPr>
          <w:sz w:val="22"/>
          <w:szCs w:val="22"/>
        </w:rPr>
        <w:t>κών συνθηκών. Τις συνθήκες αυτές συνδιαμορφώνουν το βελτιούμενο οικονομικό κλίμα που εδραι</w:t>
      </w:r>
      <w:r w:rsidRPr="00CF6AC6">
        <w:rPr>
          <w:sz w:val="22"/>
          <w:szCs w:val="22"/>
        </w:rPr>
        <w:t>ώ</w:t>
      </w:r>
      <w:r w:rsidRPr="00CF6AC6">
        <w:rPr>
          <w:sz w:val="22"/>
          <w:szCs w:val="22"/>
        </w:rPr>
        <w:t xml:space="preserve">νεται στο δεύτερο εξάμηνο του έτους (στη βάση της αυξημένης εμπιστοσύνης και της επιτάχυνσης της μεταρρυθμιστικής προσπάθειας από τη νέα κυβέρνηση), η προσήλωση στους δημοσιονομικούς και μεταρρυθμιστικούς στόχους και οι μεγαλύτεροι βαθμοί ελευθερίας ως προς την εξειδίκευση των οικονομικών πολιτικών εντός αυτών των στόχων. </w:t>
      </w:r>
    </w:p>
    <w:p w:rsidR="00CF6AC6" w:rsidRPr="00CF6AC6" w:rsidRDefault="00CF6AC6" w:rsidP="00CF6AC6">
      <w:pPr>
        <w:jc w:val="both"/>
        <w:rPr>
          <w:sz w:val="22"/>
          <w:szCs w:val="22"/>
        </w:rPr>
      </w:pPr>
    </w:p>
    <w:p w:rsidR="00CF6AC6" w:rsidRPr="00CF6AC6" w:rsidRDefault="00CF6AC6" w:rsidP="00CF6AC6">
      <w:pPr>
        <w:jc w:val="both"/>
        <w:rPr>
          <w:sz w:val="22"/>
          <w:szCs w:val="22"/>
        </w:rPr>
      </w:pPr>
      <w:r w:rsidRPr="00CF6AC6">
        <w:rPr>
          <w:sz w:val="22"/>
          <w:szCs w:val="22"/>
        </w:rPr>
        <w:t>Με την ολοκλήρωση του τρίτου προγράμματος οικονομικής προσαρμογής, από τον Αύγουστο του 2018, έχει ενεργοποιηθεί για την Ελλάδα το πλαίσιο της ενισχυμένης εποπτείας</w:t>
      </w:r>
      <w:r w:rsidR="00D07D7B">
        <w:rPr>
          <w:sz w:val="22"/>
          <w:szCs w:val="22"/>
        </w:rPr>
        <w:t xml:space="preserve">. </w:t>
      </w:r>
      <w:r w:rsidRPr="00CF6AC6">
        <w:rPr>
          <w:sz w:val="22"/>
          <w:szCs w:val="22"/>
        </w:rPr>
        <w:t>Η εποπτεία εκτείν</w:t>
      </w:r>
      <w:r w:rsidRPr="00CF6AC6">
        <w:rPr>
          <w:sz w:val="22"/>
          <w:szCs w:val="22"/>
        </w:rPr>
        <w:t>ε</w:t>
      </w:r>
      <w:r w:rsidRPr="00CF6AC6">
        <w:rPr>
          <w:sz w:val="22"/>
          <w:szCs w:val="22"/>
        </w:rPr>
        <w:t>ται σε έξι τομείς, στους οποίους περιλαμβάνονται η δημοσιονομική πολιτική (δημοσιονομικοί στόχοι και δημοσιονομικές διαρθρωτικές πολιτικές), η κοινωνική πρόνοια, η χρηματοπιστωτική σταθερότ</w:t>
      </w:r>
      <w:r w:rsidRPr="00CF6AC6">
        <w:rPr>
          <w:sz w:val="22"/>
          <w:szCs w:val="22"/>
        </w:rPr>
        <w:t>η</w:t>
      </w:r>
      <w:r w:rsidRPr="00CF6AC6">
        <w:rPr>
          <w:sz w:val="22"/>
          <w:szCs w:val="22"/>
        </w:rPr>
        <w:t>τα, οι αγορές εργασίας και προϊόντων και η δημόσια διοίκηση. Στο πλαίσιο αυτό, η Ελλάδα υπόκειται σε τριμηνιαίες αξιολογήσεις σχετικά με την πρόοδο υλοποίησης των μεταρρυθμίσεων και, σε περ</w:t>
      </w:r>
      <w:r w:rsidRPr="00CF6AC6">
        <w:rPr>
          <w:sz w:val="22"/>
          <w:szCs w:val="22"/>
        </w:rPr>
        <w:t>ί</w:t>
      </w:r>
      <w:r w:rsidRPr="00CF6AC6">
        <w:rPr>
          <w:sz w:val="22"/>
          <w:szCs w:val="22"/>
        </w:rPr>
        <w:t>πτωση ευνοϊκής έκθεσης, υπάρχει η δυνατότητα, σε εξαμηνιαία βάση, να δρομολογείται η αποδ</w:t>
      </w:r>
      <w:r w:rsidRPr="00CF6AC6">
        <w:rPr>
          <w:sz w:val="22"/>
          <w:szCs w:val="22"/>
        </w:rPr>
        <w:t>έ</w:t>
      </w:r>
      <w:r w:rsidRPr="00CF6AC6">
        <w:rPr>
          <w:sz w:val="22"/>
          <w:szCs w:val="22"/>
        </w:rPr>
        <w:t>σμευση μέτρων ελάφρυνσης του χρέους ύψους 0,7 % του ΑΕΠ ετησίως.</w:t>
      </w:r>
    </w:p>
    <w:p w:rsidR="00CF6AC6" w:rsidRPr="00CF6AC6" w:rsidRDefault="00CF6AC6" w:rsidP="00CF6AC6">
      <w:pPr>
        <w:jc w:val="both"/>
        <w:rPr>
          <w:sz w:val="22"/>
          <w:szCs w:val="22"/>
        </w:rPr>
      </w:pPr>
    </w:p>
    <w:p w:rsidR="00CF6AC6" w:rsidRPr="00CF6AC6" w:rsidRDefault="00CF6AC6" w:rsidP="00CF6AC6">
      <w:pPr>
        <w:jc w:val="both"/>
        <w:rPr>
          <w:sz w:val="22"/>
          <w:szCs w:val="22"/>
        </w:rPr>
      </w:pPr>
      <w:r w:rsidRPr="00CF6AC6">
        <w:rPr>
          <w:sz w:val="22"/>
          <w:szCs w:val="22"/>
        </w:rPr>
        <w:t xml:space="preserve">Πέραν της ενισχυμένης εποπτείας, η Ελλάδα, από τον Οκτώβριο του 2018, εντάχθηκε για πρώτη φορά στις υποχρεώσεις του Ευρωπαϊκού Εξαμήνου, στο πλαίσιο των οποίων υποβλήθηκε τον Απρίλιο του τρέχοντος έτους </w:t>
      </w:r>
      <w:r w:rsidR="00264D37">
        <w:rPr>
          <w:sz w:val="22"/>
          <w:szCs w:val="22"/>
        </w:rPr>
        <w:t xml:space="preserve">από την προηγούμενη κυβέρνηση </w:t>
      </w:r>
      <w:r w:rsidR="000801DE">
        <w:rPr>
          <w:sz w:val="22"/>
          <w:szCs w:val="22"/>
        </w:rPr>
        <w:t xml:space="preserve">το </w:t>
      </w:r>
      <w:r w:rsidRPr="00CF6AC6">
        <w:rPr>
          <w:sz w:val="22"/>
          <w:szCs w:val="22"/>
        </w:rPr>
        <w:t>Πρόγραμμα Σταθερότητας και το Εθνικό Πρ</w:t>
      </w:r>
      <w:r w:rsidRPr="00CF6AC6">
        <w:rPr>
          <w:sz w:val="22"/>
          <w:szCs w:val="22"/>
        </w:rPr>
        <w:t>ό</w:t>
      </w:r>
      <w:r w:rsidRPr="00CF6AC6">
        <w:rPr>
          <w:sz w:val="22"/>
          <w:szCs w:val="22"/>
        </w:rPr>
        <w:t>γραμμα Μεταρρυθμίσεων για το 2019, αλλά κ</w:t>
      </w:r>
      <w:r w:rsidR="00B1174B">
        <w:rPr>
          <w:sz w:val="22"/>
          <w:szCs w:val="22"/>
        </w:rPr>
        <w:t>αι εξετάστηκαν τα στοιχεία της ε</w:t>
      </w:r>
      <w:r w:rsidRPr="00CF6AC6">
        <w:rPr>
          <w:sz w:val="22"/>
          <w:szCs w:val="22"/>
        </w:rPr>
        <w:t>λληνικής Οικονομίας στο πλαίσιο της Διαδικασίας Μακροοικονομικών Ανισορροπιών (</w:t>
      </w:r>
      <w:r w:rsidRPr="00CF6AC6">
        <w:rPr>
          <w:sz w:val="22"/>
          <w:szCs w:val="22"/>
          <w:lang w:val="en-US"/>
        </w:rPr>
        <w:t>MIP</w:t>
      </w:r>
      <w:r w:rsidRPr="00CF6AC6">
        <w:rPr>
          <w:sz w:val="22"/>
          <w:szCs w:val="22"/>
        </w:rPr>
        <w:t>). Ως αποτέλεσμα, στην έκθεση των συστάσεων της Ευρωπαϊκής Επιτροπής για την Ελλάδα (Φεβρουάριος 2019), διαπιστώθηκαν μ</w:t>
      </w:r>
      <w:r w:rsidRPr="00CF6AC6">
        <w:rPr>
          <w:sz w:val="22"/>
          <w:szCs w:val="22"/>
        </w:rPr>
        <w:t>α</w:t>
      </w:r>
      <w:r w:rsidRPr="00CF6AC6">
        <w:rPr>
          <w:sz w:val="22"/>
          <w:szCs w:val="22"/>
        </w:rPr>
        <w:t>κροοικονομικές ανισορροπίες που σχετίζονται με το υψηλό επίπεδο του δημόσιου χρέους ως προς το ΑΕΠ, την αρνητική καθαρή επενδυτική θέση της χώρας, το ύψος του αποθέματος μη εξυπηρετούμ</w:t>
      </w:r>
      <w:r w:rsidRPr="00CF6AC6">
        <w:rPr>
          <w:sz w:val="22"/>
          <w:szCs w:val="22"/>
        </w:rPr>
        <w:t>ε</w:t>
      </w:r>
      <w:r w:rsidRPr="00CF6AC6">
        <w:rPr>
          <w:sz w:val="22"/>
          <w:szCs w:val="22"/>
        </w:rPr>
        <w:t>νων δανείων, το υψηλό ποσοστό ανεργίας και τους χαμηλούς ρυθμούς δυνητικής μεγέθυνσης και π</w:t>
      </w:r>
      <w:r w:rsidRPr="00CF6AC6">
        <w:rPr>
          <w:sz w:val="22"/>
          <w:szCs w:val="22"/>
        </w:rPr>
        <w:t>α</w:t>
      </w:r>
      <w:r w:rsidRPr="00CF6AC6">
        <w:rPr>
          <w:sz w:val="22"/>
          <w:szCs w:val="22"/>
        </w:rPr>
        <w:t>ραγωγικότητας. Όπως αναφέρεται στην ανάλυση που συμπεριλαμβάνεται στην έκθεση, για την εξ</w:t>
      </w:r>
      <w:r w:rsidRPr="00CF6AC6">
        <w:rPr>
          <w:sz w:val="22"/>
          <w:szCs w:val="22"/>
        </w:rPr>
        <w:t>ά</w:t>
      </w:r>
      <w:r w:rsidRPr="00CF6AC6">
        <w:rPr>
          <w:sz w:val="22"/>
          <w:szCs w:val="22"/>
        </w:rPr>
        <w:t>λειψη των συσσωρευμένων ανισορροπιών θα απαιτηθεί η συνεπής υλοποίηση των διαρθρωτικών α</w:t>
      </w:r>
      <w:r w:rsidRPr="00CF6AC6">
        <w:rPr>
          <w:sz w:val="22"/>
          <w:szCs w:val="22"/>
        </w:rPr>
        <w:t>λ</w:t>
      </w:r>
      <w:r w:rsidRPr="00CF6AC6">
        <w:rPr>
          <w:sz w:val="22"/>
          <w:szCs w:val="22"/>
        </w:rPr>
        <w:t xml:space="preserve">λαγών και η επιτάχυνση των ρυθμών οικονομικής ανάπτυξης. </w:t>
      </w:r>
    </w:p>
    <w:p w:rsidR="00CF6AC6" w:rsidRPr="00CF6AC6" w:rsidRDefault="00CF6AC6" w:rsidP="00CF6AC6">
      <w:pPr>
        <w:jc w:val="both"/>
        <w:rPr>
          <w:sz w:val="22"/>
          <w:szCs w:val="22"/>
        </w:rPr>
      </w:pPr>
    </w:p>
    <w:p w:rsidR="00CF6AC6" w:rsidRPr="00CF6AC6" w:rsidRDefault="00CF6AC6" w:rsidP="00CF6AC6">
      <w:pPr>
        <w:jc w:val="both"/>
        <w:rPr>
          <w:sz w:val="22"/>
          <w:szCs w:val="22"/>
        </w:rPr>
      </w:pPr>
      <w:r w:rsidRPr="00CF6AC6">
        <w:rPr>
          <w:sz w:val="22"/>
          <w:szCs w:val="22"/>
        </w:rPr>
        <w:t xml:space="preserve">Οι ως άνω ανισορροπίες οφείλονται στις προ κρίσης δομικές αδυναμίες της ελληνικής οικονομίας, </w:t>
      </w:r>
      <w:r w:rsidR="00264D37">
        <w:rPr>
          <w:sz w:val="22"/>
          <w:szCs w:val="22"/>
        </w:rPr>
        <w:t xml:space="preserve">στις επιπτώσεις της μακροχρόνιας περιόδου αποεπένδυσης και στο επενδυτικό κενό που χαρακτηρίζει τα τελευταία χρόνια την ελληνική οικονομία και τις αντίστοιχες επιπτώσεις </w:t>
      </w:r>
      <w:r w:rsidRPr="00CF6AC6">
        <w:rPr>
          <w:sz w:val="22"/>
          <w:szCs w:val="22"/>
        </w:rPr>
        <w:t>στην πραγματική οικον</w:t>
      </w:r>
      <w:r w:rsidRPr="00CF6AC6">
        <w:rPr>
          <w:sz w:val="22"/>
          <w:szCs w:val="22"/>
        </w:rPr>
        <w:t>ο</w:t>
      </w:r>
      <w:r w:rsidRPr="00CF6AC6">
        <w:rPr>
          <w:sz w:val="22"/>
          <w:szCs w:val="22"/>
        </w:rPr>
        <w:t xml:space="preserve">μία (ΑΕΠ, </w:t>
      </w:r>
      <w:r w:rsidR="00264D37">
        <w:rPr>
          <w:sz w:val="22"/>
          <w:szCs w:val="22"/>
        </w:rPr>
        <w:t>παραγωγικότητα</w:t>
      </w:r>
      <w:r w:rsidRPr="00CF6AC6">
        <w:rPr>
          <w:sz w:val="22"/>
          <w:szCs w:val="22"/>
        </w:rPr>
        <w:t xml:space="preserve">, απασχόληση), αλλά και στις </w:t>
      </w:r>
      <w:r w:rsidR="00264D37">
        <w:rPr>
          <w:sz w:val="22"/>
          <w:szCs w:val="22"/>
        </w:rPr>
        <w:t xml:space="preserve">μακροχρόνιες </w:t>
      </w:r>
      <w:r w:rsidRPr="00CF6AC6">
        <w:rPr>
          <w:sz w:val="22"/>
          <w:szCs w:val="22"/>
        </w:rPr>
        <w:t>συνέπειες της πολιτικής δι</w:t>
      </w:r>
      <w:r w:rsidRPr="00CF6AC6">
        <w:rPr>
          <w:sz w:val="22"/>
          <w:szCs w:val="22"/>
        </w:rPr>
        <w:t>α</w:t>
      </w:r>
      <w:r w:rsidRPr="00CF6AC6">
        <w:rPr>
          <w:sz w:val="22"/>
          <w:szCs w:val="22"/>
        </w:rPr>
        <w:t>πραγμάτευσης με τα υπόλοιπα κράτη-μέλη της ζώνης του ευρώ το πρώτο εξάμηνο του 2015. Λόγω των συσταλτικών δημοσιονομικών μέτρων, ο κύριος μοχλός αύξησης του πραγματικού ΑΕΠ μεταξύ 2009 και 2018 ήταν ο εξωτερικός τομέας της οικονομίας, ο οποίος συνέβαλε θετικά στην ανάπτυξη κατά 1,3 ποσοστιαίες μονάδες σε ετήσιο μέσο όρο, έναντι αρνητικής μέσης ετήσιας συμβολής της ε</w:t>
      </w:r>
      <w:r w:rsidRPr="00CF6AC6">
        <w:rPr>
          <w:sz w:val="22"/>
          <w:szCs w:val="22"/>
        </w:rPr>
        <w:t>γ</w:t>
      </w:r>
      <w:r w:rsidRPr="00CF6AC6">
        <w:rPr>
          <w:sz w:val="22"/>
          <w:szCs w:val="22"/>
        </w:rPr>
        <w:t>χώριας ζήτησης (κατανάλωσης και επενδύσεων) κατά 4,0 ποσοστιαίες μονάδες. Η ως άνω θετική συμβολή του πραγματικού εξωτερικού τομέα σηματοδοτεί τη βελτίωση και στο ονομαστικό Ισοζύγιο Τρεχουσών Συναλλαγών, η οποία υπήρξε άλλωστε βασικός στόχος της οικονομικής προσαρμογής (Διάγραμ</w:t>
      </w:r>
      <w:r w:rsidR="00A461C1">
        <w:rPr>
          <w:sz w:val="22"/>
          <w:szCs w:val="22"/>
        </w:rPr>
        <w:t>μα 1.1.), που είχε όμως ουσιαστικά ολοκληρωθεί μέχρι το 2015.</w:t>
      </w:r>
    </w:p>
    <w:p w:rsidR="00CF6AC6" w:rsidRPr="00B67AAE" w:rsidRDefault="00CF6AC6" w:rsidP="00780119">
      <w:pPr>
        <w:jc w:val="both"/>
        <w:rPr>
          <w:sz w:val="22"/>
          <w:szCs w:val="22"/>
        </w:rPr>
      </w:pPr>
    </w:p>
    <w:p w:rsidR="002B4535" w:rsidRPr="00B67AAE" w:rsidRDefault="002B4535" w:rsidP="00780119">
      <w:pPr>
        <w:jc w:val="both"/>
        <w:rPr>
          <w:sz w:val="22"/>
          <w:szCs w:val="22"/>
        </w:rPr>
      </w:pPr>
    </w:p>
    <w:p w:rsidR="00DE399A" w:rsidRDefault="00DE399A" w:rsidP="00DE399A">
      <w:pPr>
        <w:jc w:val="both"/>
        <w:rPr>
          <w:szCs w:val="22"/>
        </w:rPr>
      </w:pPr>
    </w:p>
    <w:p w:rsidR="00B970E9" w:rsidRDefault="00B970E9" w:rsidP="00DE399A">
      <w:pPr>
        <w:jc w:val="both"/>
        <w:rPr>
          <w:szCs w:val="22"/>
        </w:rPr>
      </w:pPr>
    </w:p>
    <w:p w:rsidR="00B970E9" w:rsidRDefault="00B970E9" w:rsidP="00DE399A">
      <w:pPr>
        <w:jc w:val="both"/>
        <w:rPr>
          <w:szCs w:val="22"/>
        </w:rPr>
      </w:pPr>
    </w:p>
    <w:tbl>
      <w:tblPr>
        <w:tblW w:w="8871" w:type="dxa"/>
        <w:jc w:val="center"/>
        <w:tblLook w:val="04A0"/>
      </w:tblPr>
      <w:tblGrid>
        <w:gridCol w:w="8871"/>
      </w:tblGrid>
      <w:tr w:rsidR="00DE399A" w:rsidRPr="0019077B" w:rsidTr="00B970E9">
        <w:trPr>
          <w:trHeight w:val="175"/>
          <w:jc w:val="center"/>
        </w:trPr>
        <w:tc>
          <w:tcPr>
            <w:tcW w:w="8871" w:type="dxa"/>
            <w:shd w:val="clear" w:color="auto" w:fill="auto"/>
          </w:tcPr>
          <w:p w:rsidR="00DE399A" w:rsidRPr="00F440DD" w:rsidRDefault="00DE399A" w:rsidP="00B970E9">
            <w:pPr>
              <w:jc w:val="center"/>
              <w:rPr>
                <w:rFonts w:ascii="Arial Narrow" w:hAnsi="Arial Narrow"/>
                <w:b/>
                <w:sz w:val="22"/>
              </w:rPr>
            </w:pPr>
            <w:r w:rsidRPr="00F440DD">
              <w:rPr>
                <w:rFonts w:ascii="Arial Narrow" w:hAnsi="Arial Narrow"/>
                <w:b/>
                <w:sz w:val="22"/>
              </w:rPr>
              <w:t>Διάγραμμα 1.1  Εξέλιξη του ισοζυγίου τρεχουσών συναλλαγών</w:t>
            </w:r>
          </w:p>
          <w:p w:rsidR="00DE399A" w:rsidRPr="00F440DD" w:rsidRDefault="00DE399A" w:rsidP="00B970E9">
            <w:pPr>
              <w:jc w:val="center"/>
              <w:rPr>
                <w:rFonts w:ascii="Arial Narrow" w:hAnsi="Arial Narrow"/>
                <w:b/>
              </w:rPr>
            </w:pPr>
            <w:r w:rsidRPr="00F440DD">
              <w:rPr>
                <w:rFonts w:ascii="Arial Narrow" w:hAnsi="Arial Narrow"/>
                <w:b/>
                <w:sz w:val="22"/>
              </w:rPr>
              <w:t>(% του ΑΕΠ, τρέχουσες τιμές)</w:t>
            </w:r>
          </w:p>
        </w:tc>
      </w:tr>
      <w:tr w:rsidR="00DE399A" w:rsidRPr="003B0BD8" w:rsidTr="00B970E9">
        <w:trPr>
          <w:trHeight w:val="567"/>
          <w:jc w:val="center"/>
        </w:trPr>
        <w:tc>
          <w:tcPr>
            <w:tcW w:w="8871" w:type="dxa"/>
            <w:shd w:val="clear" w:color="auto" w:fill="auto"/>
          </w:tcPr>
          <w:p w:rsidR="00DE399A" w:rsidRPr="00F440DD" w:rsidRDefault="00BC76A1" w:rsidP="00B970E9">
            <w:pPr>
              <w:tabs>
                <w:tab w:val="left" w:pos="426"/>
              </w:tabs>
              <w:jc w:val="center"/>
              <w:rPr>
                <w:rFonts w:ascii="Arial Narrow" w:hAnsi="Arial Narrow"/>
                <w:i/>
                <w:sz w:val="18"/>
                <w:szCs w:val="18"/>
              </w:rPr>
            </w:pPr>
            <w:r w:rsidRPr="00BC76A1">
              <w:rPr>
                <w:rFonts w:ascii="Arial Narrow" w:hAnsi="Arial Narrow"/>
                <w:i/>
                <w:noProof/>
                <w:sz w:val="18"/>
                <w:szCs w:val="18"/>
              </w:rPr>
              <w:drawing>
                <wp:inline distT="0" distB="0" distL="0" distR="0">
                  <wp:extent cx="5476875" cy="3886200"/>
                  <wp:effectExtent l="0" t="0" r="0" b="0"/>
                  <wp:docPr id="7"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399A" w:rsidRPr="00F440DD" w:rsidRDefault="00DE399A" w:rsidP="00B970E9">
            <w:pPr>
              <w:tabs>
                <w:tab w:val="left" w:pos="426"/>
                <w:tab w:val="left" w:pos="851"/>
              </w:tabs>
              <w:jc w:val="both"/>
              <w:rPr>
                <w:rFonts w:ascii="Arial Narrow" w:hAnsi="Arial Narrow"/>
                <w:i/>
                <w:sz w:val="14"/>
                <w:szCs w:val="14"/>
              </w:rPr>
            </w:pPr>
            <w:r w:rsidRPr="00F440DD">
              <w:rPr>
                <w:rFonts w:ascii="Arial Narrow" w:hAnsi="Arial Narrow"/>
                <w:i/>
                <w:sz w:val="18"/>
                <w:szCs w:val="18"/>
              </w:rPr>
              <w:tab/>
            </w:r>
            <w:r w:rsidRPr="00F440DD">
              <w:rPr>
                <w:rFonts w:ascii="Arial Narrow" w:hAnsi="Arial Narrow"/>
                <w:i/>
                <w:sz w:val="14"/>
                <w:szCs w:val="14"/>
              </w:rPr>
              <w:t>Πηγή:</w:t>
            </w:r>
            <w:r w:rsidRPr="00F440DD">
              <w:rPr>
                <w:rFonts w:ascii="Arial Narrow" w:hAnsi="Arial Narrow"/>
                <w:i/>
                <w:sz w:val="14"/>
                <w:szCs w:val="14"/>
              </w:rPr>
              <w:tab/>
              <w:t>Ετήσιοι Εθνικοί Λογαριασμοί</w:t>
            </w:r>
            <w:r>
              <w:rPr>
                <w:rFonts w:ascii="Arial Narrow" w:hAnsi="Arial Narrow"/>
                <w:i/>
                <w:sz w:val="14"/>
                <w:szCs w:val="14"/>
              </w:rPr>
              <w:t xml:space="preserve"> </w:t>
            </w:r>
            <w:r w:rsidRPr="00F440DD">
              <w:rPr>
                <w:rFonts w:ascii="Arial Narrow" w:hAnsi="Arial Narrow"/>
                <w:i/>
                <w:sz w:val="14"/>
                <w:szCs w:val="14"/>
              </w:rPr>
              <w:t>2018</w:t>
            </w:r>
            <w:r>
              <w:rPr>
                <w:rFonts w:ascii="Arial Narrow" w:hAnsi="Arial Narrow"/>
                <w:i/>
                <w:sz w:val="14"/>
                <w:szCs w:val="14"/>
              </w:rPr>
              <w:t xml:space="preserve"> </w:t>
            </w:r>
            <w:r w:rsidRPr="00F440DD">
              <w:rPr>
                <w:rFonts w:ascii="Arial Narrow" w:hAnsi="Arial Narrow"/>
                <w:i/>
                <w:sz w:val="14"/>
                <w:szCs w:val="14"/>
              </w:rPr>
              <w:t xml:space="preserve">(Ελληνική Στατιστική Αρχή), </w:t>
            </w:r>
            <w:r>
              <w:rPr>
                <w:rFonts w:ascii="Arial Narrow" w:hAnsi="Arial Narrow"/>
                <w:i/>
                <w:sz w:val="14"/>
                <w:szCs w:val="14"/>
              </w:rPr>
              <w:t xml:space="preserve">εκτιμήσεις/ προβλέψεις </w:t>
            </w:r>
            <w:r w:rsidRPr="00F440DD">
              <w:rPr>
                <w:rFonts w:ascii="Arial Narrow" w:hAnsi="Arial Narrow"/>
                <w:i/>
                <w:sz w:val="14"/>
                <w:szCs w:val="14"/>
              </w:rPr>
              <w:t>Υπουργείο</w:t>
            </w:r>
            <w:r>
              <w:rPr>
                <w:rFonts w:ascii="Arial Narrow" w:hAnsi="Arial Narrow"/>
                <w:i/>
                <w:sz w:val="14"/>
                <w:szCs w:val="14"/>
              </w:rPr>
              <w:t>υ</w:t>
            </w:r>
            <w:r w:rsidRPr="00F440DD">
              <w:rPr>
                <w:rFonts w:ascii="Arial Narrow" w:hAnsi="Arial Narrow"/>
                <w:i/>
                <w:sz w:val="14"/>
                <w:szCs w:val="14"/>
              </w:rPr>
              <w:t xml:space="preserve"> Οικονομικών</w:t>
            </w:r>
          </w:p>
          <w:p w:rsidR="00DE399A" w:rsidRPr="00F440DD" w:rsidRDefault="00DE399A" w:rsidP="00B970E9">
            <w:pPr>
              <w:tabs>
                <w:tab w:val="left" w:pos="426"/>
                <w:tab w:val="left" w:pos="851"/>
              </w:tabs>
              <w:jc w:val="both"/>
              <w:rPr>
                <w:rFonts w:ascii="Arial Narrow" w:hAnsi="Arial Narrow"/>
                <w:sz w:val="18"/>
                <w:szCs w:val="18"/>
              </w:rPr>
            </w:pPr>
            <w:r>
              <w:rPr>
                <w:rFonts w:ascii="Arial Narrow" w:hAnsi="Arial Narrow"/>
                <w:i/>
                <w:sz w:val="14"/>
                <w:szCs w:val="14"/>
              </w:rPr>
              <w:tab/>
              <w:t>*</w:t>
            </w:r>
            <w:r w:rsidRPr="00F440DD">
              <w:rPr>
                <w:rFonts w:ascii="Arial Narrow" w:hAnsi="Arial Narrow"/>
                <w:i/>
                <w:sz w:val="14"/>
                <w:szCs w:val="14"/>
              </w:rPr>
              <w:t>Εκτιμήσεις / Προβλέψεις</w:t>
            </w:r>
          </w:p>
        </w:tc>
      </w:tr>
    </w:tbl>
    <w:p w:rsidR="00DE399A" w:rsidRDefault="00DE399A" w:rsidP="00DE399A">
      <w:pPr>
        <w:jc w:val="both"/>
        <w:rPr>
          <w:szCs w:val="22"/>
        </w:rPr>
      </w:pPr>
    </w:p>
    <w:p w:rsidR="00DE399A" w:rsidRPr="00D6175A" w:rsidRDefault="000801DE" w:rsidP="00DE399A">
      <w:pPr>
        <w:jc w:val="both"/>
        <w:rPr>
          <w:noProof/>
          <w:sz w:val="22"/>
        </w:rPr>
      </w:pPr>
      <w:r>
        <w:rPr>
          <w:noProof/>
          <w:sz w:val="22"/>
        </w:rPr>
        <w:t>Όπως προαναφέρθηκε</w:t>
      </w:r>
      <w:r w:rsidR="00DE399A" w:rsidRPr="00D6175A">
        <w:rPr>
          <w:noProof/>
          <w:sz w:val="22"/>
        </w:rPr>
        <w:t xml:space="preserve">, από την έναρξη της κρίσης έχει δημιουργηθεί στην Ελλάδα ένα μεγάλο επενδυτικό κενό, ως αποτέλεσμα της διαδοχικής συρρίκνωσης του όγκου των επενδύσεων </w:t>
      </w:r>
      <w:r w:rsidR="00A461C1">
        <w:rPr>
          <w:noProof/>
          <w:sz w:val="22"/>
        </w:rPr>
        <w:t xml:space="preserve">στην πρώτη φάση της κρίσης, </w:t>
      </w:r>
      <w:r w:rsidR="00DE399A" w:rsidRPr="00D6175A">
        <w:rPr>
          <w:noProof/>
          <w:sz w:val="22"/>
        </w:rPr>
        <w:t>της απότομης χειροτέρευσης των επιχειρηματικών προσδοκιών και των συνθηκών ρευστότητας στην οικονομία το 2015 (εν μέσω επιβολής περιορισμών στην κίνηση κεφαλαίων), και της μη αναμενόμενης εκ νέου συρρίκνωσης των επενδύσεων το 2018</w:t>
      </w:r>
      <w:r w:rsidR="00A461C1">
        <w:rPr>
          <w:noProof/>
          <w:sz w:val="22"/>
        </w:rPr>
        <w:t>.</w:t>
      </w:r>
      <w:r w:rsidR="00DE399A" w:rsidRPr="00D6175A">
        <w:rPr>
          <w:noProof/>
          <w:sz w:val="22"/>
        </w:rPr>
        <w:t xml:space="preserve"> </w:t>
      </w:r>
    </w:p>
    <w:p w:rsidR="00DE399A" w:rsidRPr="00D6175A" w:rsidRDefault="00DE399A" w:rsidP="00DE399A">
      <w:pPr>
        <w:jc w:val="both"/>
        <w:rPr>
          <w:noProof/>
          <w:sz w:val="22"/>
        </w:rPr>
      </w:pPr>
    </w:p>
    <w:p w:rsidR="00DE399A" w:rsidRPr="00D6175A" w:rsidRDefault="00DE399A" w:rsidP="00DE399A">
      <w:pPr>
        <w:jc w:val="both"/>
        <w:rPr>
          <w:noProof/>
          <w:sz w:val="22"/>
        </w:rPr>
      </w:pPr>
      <w:r w:rsidRPr="00D6175A">
        <w:rPr>
          <w:sz w:val="22"/>
          <w:szCs w:val="22"/>
        </w:rPr>
        <w:t xml:space="preserve">Η </w:t>
      </w:r>
      <w:r w:rsidRPr="00D6175A">
        <w:rPr>
          <w:sz w:val="22"/>
        </w:rPr>
        <w:t xml:space="preserve">ασκούμενη από τη </w:t>
      </w:r>
      <w:r w:rsidRPr="00D6175A">
        <w:rPr>
          <w:sz w:val="22"/>
          <w:szCs w:val="22"/>
        </w:rPr>
        <w:t xml:space="preserve">νέα Κυβέρνηση οικονομική πολιτική </w:t>
      </w:r>
      <w:r w:rsidRPr="00D6175A">
        <w:rPr>
          <w:sz w:val="22"/>
        </w:rPr>
        <w:t>έχει ως κεντρικό στόχο την αναστροφή α</w:t>
      </w:r>
      <w:r w:rsidRPr="00D6175A">
        <w:rPr>
          <w:sz w:val="22"/>
        </w:rPr>
        <w:t>υ</w:t>
      </w:r>
      <w:r w:rsidRPr="00D6175A">
        <w:rPr>
          <w:sz w:val="22"/>
        </w:rPr>
        <w:t>τής της κατάστασης και τη δυναμική αύξηση των επενδύσεων στην ελληνική οικονομία. Ο μεσοπρ</w:t>
      </w:r>
      <w:r w:rsidRPr="00D6175A">
        <w:rPr>
          <w:sz w:val="22"/>
        </w:rPr>
        <w:t>ό</w:t>
      </w:r>
      <w:r w:rsidRPr="00D6175A">
        <w:rPr>
          <w:sz w:val="22"/>
        </w:rPr>
        <w:t>θεσμος στόχος της νέας πολιτικής στόχευσης είναι οι επενδύσεις, ως ποσοστό του ΑΕΠ, να πλησι</w:t>
      </w:r>
      <w:r w:rsidRPr="00D6175A">
        <w:rPr>
          <w:sz w:val="22"/>
        </w:rPr>
        <w:t>ά</w:t>
      </w:r>
      <w:r w:rsidRPr="00D6175A">
        <w:rPr>
          <w:sz w:val="22"/>
        </w:rPr>
        <w:t xml:space="preserve">σουν σταδιακά τα επίπεδα προ της κρίσης. </w:t>
      </w:r>
    </w:p>
    <w:p w:rsidR="00DE399A" w:rsidRPr="00D6175A" w:rsidRDefault="00DE399A" w:rsidP="00DE399A">
      <w:pPr>
        <w:jc w:val="both"/>
        <w:rPr>
          <w:noProof/>
          <w:sz w:val="22"/>
        </w:rPr>
      </w:pPr>
    </w:p>
    <w:p w:rsidR="00DE399A" w:rsidRPr="00D6175A" w:rsidRDefault="00DE399A" w:rsidP="00DE399A">
      <w:pPr>
        <w:jc w:val="both"/>
        <w:rPr>
          <w:sz w:val="22"/>
        </w:rPr>
      </w:pPr>
      <w:r w:rsidRPr="00D6175A">
        <w:rPr>
          <w:sz w:val="22"/>
        </w:rPr>
        <w:t>Αναλυτικότερα, οι ακαθάριστες επενδύσεις παγίου κεφαλαίου</w:t>
      </w:r>
      <w:r w:rsidRPr="00D6175A">
        <w:rPr>
          <w:sz w:val="22"/>
          <w:szCs w:val="22"/>
        </w:rPr>
        <w:t xml:space="preserve"> στην Ελλάδα όπως απεικονίζονται στον πίνακα 1.2</w:t>
      </w:r>
      <w:r w:rsidRPr="00D6175A">
        <w:rPr>
          <w:sz w:val="22"/>
        </w:rPr>
        <w:t>, ως ποσοστό του ΑΕΠ, ανέρχονταν πριν από την κρίση σε ποσοστά πάνω από το 20%, ενώ μετά το 2010 μειώθηκαν κατά περίπου 10 ποσοστιαίες μονάδες. Το 1</w:t>
      </w:r>
      <w:r w:rsidRPr="00D6175A">
        <w:rPr>
          <w:sz w:val="22"/>
          <w:vertAlign w:val="superscript"/>
        </w:rPr>
        <w:t>ο</w:t>
      </w:r>
      <w:r w:rsidRPr="00D6175A">
        <w:rPr>
          <w:sz w:val="22"/>
        </w:rPr>
        <w:t xml:space="preserve"> εξάμηνο του 2019, οι επενδ</w:t>
      </w:r>
      <w:r w:rsidRPr="00D6175A">
        <w:rPr>
          <w:sz w:val="22"/>
        </w:rPr>
        <w:t>ύ</w:t>
      </w:r>
      <w:r w:rsidRPr="00D6175A">
        <w:rPr>
          <w:sz w:val="22"/>
        </w:rPr>
        <w:t>σεις ήταν μόνο το 11,6% του ΑΕΠ, ενώ εκτιμάται αύξηση στο 12,3% το 2</w:t>
      </w:r>
      <w:r w:rsidRPr="00D6175A">
        <w:rPr>
          <w:sz w:val="22"/>
          <w:vertAlign w:val="superscript"/>
        </w:rPr>
        <w:t>ο</w:t>
      </w:r>
      <w:r w:rsidRPr="00D6175A">
        <w:rPr>
          <w:sz w:val="22"/>
        </w:rPr>
        <w:t xml:space="preserve"> εξάμηνο του έτους, </w:t>
      </w:r>
      <w:r w:rsidR="004D6077">
        <w:rPr>
          <w:sz w:val="22"/>
        </w:rPr>
        <w:t xml:space="preserve">άνοδος </w:t>
      </w:r>
      <w:r w:rsidRPr="00D6175A">
        <w:rPr>
          <w:sz w:val="22"/>
        </w:rPr>
        <w:t>που προβλέπεται να φθάσει στο 13,1% το 2020.</w:t>
      </w:r>
    </w:p>
    <w:p w:rsidR="00DE399A" w:rsidRPr="004A7DE0" w:rsidRDefault="00DE399A" w:rsidP="00DE399A">
      <w:pPr>
        <w:jc w:val="both"/>
      </w:pPr>
    </w:p>
    <w:p w:rsidR="00A67FAC" w:rsidRPr="004A7DE0" w:rsidRDefault="00A67FAC" w:rsidP="00DE399A">
      <w:pPr>
        <w:jc w:val="both"/>
      </w:pPr>
    </w:p>
    <w:p w:rsidR="00A67FAC" w:rsidRPr="004A7DE0" w:rsidRDefault="00A67FAC" w:rsidP="00DE399A">
      <w:pPr>
        <w:jc w:val="both"/>
      </w:pPr>
    </w:p>
    <w:p w:rsidR="00A67FAC" w:rsidRPr="004A7DE0" w:rsidRDefault="00A67FAC" w:rsidP="00DE399A">
      <w:pPr>
        <w:jc w:val="both"/>
      </w:pPr>
    </w:p>
    <w:p w:rsidR="00A67FAC" w:rsidRPr="004A7DE0" w:rsidRDefault="00A67FAC" w:rsidP="00DE399A">
      <w:pPr>
        <w:jc w:val="both"/>
      </w:pPr>
    </w:p>
    <w:tbl>
      <w:tblPr>
        <w:tblW w:w="8997" w:type="dxa"/>
        <w:jc w:val="center"/>
        <w:tblBorders>
          <w:top w:val="single" w:sz="4" w:space="0" w:color="auto"/>
          <w:left w:val="single" w:sz="4" w:space="0" w:color="auto"/>
          <w:bottom w:val="single" w:sz="4" w:space="0" w:color="auto"/>
          <w:right w:val="single" w:sz="4" w:space="0" w:color="auto"/>
        </w:tblBorders>
        <w:tblLook w:val="04A0"/>
      </w:tblPr>
      <w:tblGrid>
        <w:gridCol w:w="1533"/>
        <w:gridCol w:w="1567"/>
        <w:gridCol w:w="1567"/>
        <w:gridCol w:w="1425"/>
        <w:gridCol w:w="1424"/>
        <w:gridCol w:w="1481"/>
      </w:tblGrid>
      <w:tr w:rsidR="00A67FAC" w:rsidRPr="00A67FAC" w:rsidTr="003F4DB3">
        <w:trPr>
          <w:trHeight w:val="585"/>
          <w:jc w:val="center"/>
        </w:trPr>
        <w:tc>
          <w:tcPr>
            <w:tcW w:w="8997" w:type="dxa"/>
            <w:gridSpan w:val="6"/>
            <w:tcBorders>
              <w:top w:val="single" w:sz="6" w:space="0" w:color="auto"/>
              <w:left w:val="single" w:sz="6" w:space="0" w:color="auto"/>
              <w:bottom w:val="nil"/>
              <w:right w:val="single" w:sz="6" w:space="0" w:color="auto"/>
            </w:tcBorders>
            <w:shd w:val="clear" w:color="auto" w:fill="595959" w:themeFill="text1" w:themeFillTint="A6"/>
            <w:noWrap/>
            <w:vAlign w:val="bottom"/>
            <w:hideMark/>
          </w:tcPr>
          <w:p w:rsidR="00A67FAC" w:rsidRPr="00A67FAC" w:rsidRDefault="00A67FAC" w:rsidP="00A67FAC">
            <w:pPr>
              <w:spacing w:before="120"/>
              <w:jc w:val="center"/>
              <w:rPr>
                <w:rFonts w:ascii="Arial Narrow" w:hAnsi="Arial Narrow" w:cs="Calibri"/>
                <w:b/>
                <w:bCs/>
                <w:color w:val="FFFFFF" w:themeColor="background1"/>
              </w:rPr>
            </w:pPr>
            <w:r w:rsidRPr="00A67FAC">
              <w:rPr>
                <w:rFonts w:ascii="Arial Narrow" w:hAnsi="Arial Narrow" w:cs="Calibri"/>
                <w:b/>
                <w:bCs/>
                <w:color w:val="FFFFFF" w:themeColor="background1"/>
              </w:rPr>
              <w:lastRenderedPageBreak/>
              <w:t>Πίνακας 1.2 Ακαθάριστες επενδύσεις παγίου κεφαλαίου (σταθερές τιμές)</w:t>
            </w:r>
          </w:p>
          <w:p w:rsidR="00A67FAC" w:rsidRPr="00A67FAC" w:rsidRDefault="00A67FAC" w:rsidP="00A67FAC">
            <w:pPr>
              <w:spacing w:after="120"/>
              <w:jc w:val="center"/>
              <w:rPr>
                <w:rFonts w:ascii="Arial Narrow" w:hAnsi="Arial Narrow" w:cs="Calibri"/>
                <w:b/>
                <w:bCs/>
                <w:color w:val="FFFFFF" w:themeColor="background1"/>
              </w:rPr>
            </w:pPr>
            <w:r w:rsidRPr="00A67FAC">
              <w:rPr>
                <w:rFonts w:ascii="Arial Narrow" w:hAnsi="Arial Narrow" w:cs="Calibri"/>
                <w:b/>
                <w:bCs/>
                <w:color w:val="FFFFFF" w:themeColor="background1"/>
              </w:rPr>
              <w:t>ως ποσοστό του ΑΕΠ</w:t>
            </w:r>
          </w:p>
        </w:tc>
      </w:tr>
      <w:tr w:rsidR="00CC20C5" w:rsidRPr="00CC20C5" w:rsidTr="003F4DB3">
        <w:trPr>
          <w:trHeight w:val="170"/>
          <w:jc w:val="center"/>
        </w:trPr>
        <w:tc>
          <w:tcPr>
            <w:tcW w:w="8997" w:type="dxa"/>
            <w:gridSpan w:val="6"/>
            <w:tcBorders>
              <w:top w:val="nil"/>
              <w:left w:val="single" w:sz="6" w:space="0" w:color="auto"/>
              <w:bottom w:val="single" w:sz="4" w:space="0" w:color="auto"/>
              <w:right w:val="single" w:sz="6" w:space="0" w:color="auto"/>
            </w:tcBorders>
            <w:shd w:val="clear" w:color="auto" w:fill="FFFFFF" w:themeFill="background1"/>
            <w:noWrap/>
            <w:vAlign w:val="bottom"/>
            <w:hideMark/>
          </w:tcPr>
          <w:p w:rsidR="00CC20C5" w:rsidRPr="00CC20C5" w:rsidRDefault="00CC20C5" w:rsidP="00CC20C5">
            <w:pPr>
              <w:jc w:val="center"/>
              <w:rPr>
                <w:rFonts w:ascii="Arial Narrow" w:hAnsi="Arial Narrow" w:cs="Calibri"/>
                <w:b/>
                <w:bCs/>
                <w:color w:val="FFFFFF" w:themeColor="background1"/>
                <w:sz w:val="16"/>
                <w:szCs w:val="16"/>
              </w:rPr>
            </w:pPr>
          </w:p>
        </w:tc>
      </w:tr>
      <w:tr w:rsidR="00DE399A" w:rsidRPr="00686970" w:rsidTr="000C4DCC">
        <w:trPr>
          <w:trHeight w:val="285"/>
          <w:jc w:val="center"/>
        </w:trPr>
        <w:tc>
          <w:tcPr>
            <w:tcW w:w="1533"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E399A" w:rsidRPr="00A67FAC" w:rsidRDefault="00DE399A" w:rsidP="000C4DCC">
            <w:pPr>
              <w:jc w:val="center"/>
              <w:rPr>
                <w:rFonts w:ascii="Arial Narrow" w:hAnsi="Arial Narrow" w:cs="Calibri"/>
                <w:color w:val="000000"/>
                <w:sz w:val="16"/>
                <w:szCs w:val="16"/>
              </w:rPr>
            </w:pPr>
          </w:p>
        </w:tc>
        <w:tc>
          <w:tcPr>
            <w:tcW w:w="1567"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E399A" w:rsidRPr="00A67FAC" w:rsidRDefault="00DE399A" w:rsidP="000C4DCC">
            <w:pPr>
              <w:jc w:val="center"/>
              <w:rPr>
                <w:rFonts w:ascii="Arial Narrow" w:hAnsi="Arial Narrow" w:cs="Calibri"/>
                <w:b/>
                <w:bCs/>
                <w:color w:val="000000"/>
                <w:sz w:val="16"/>
                <w:szCs w:val="16"/>
              </w:rPr>
            </w:pPr>
            <w:r w:rsidRPr="00A67FAC">
              <w:rPr>
                <w:rFonts w:ascii="Arial Narrow" w:hAnsi="Arial Narrow" w:cs="Calibri"/>
                <w:b/>
                <w:bCs/>
                <w:color w:val="000000"/>
                <w:sz w:val="16"/>
                <w:szCs w:val="16"/>
              </w:rPr>
              <w:t>Ελλάδα</w:t>
            </w:r>
          </w:p>
        </w:tc>
        <w:tc>
          <w:tcPr>
            <w:tcW w:w="1567"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E399A" w:rsidRPr="00A67FAC" w:rsidRDefault="00DE399A" w:rsidP="000C4DCC">
            <w:pPr>
              <w:jc w:val="center"/>
              <w:rPr>
                <w:rFonts w:ascii="Arial Narrow" w:hAnsi="Arial Narrow" w:cs="Calibri"/>
                <w:b/>
                <w:bCs/>
                <w:color w:val="000000"/>
                <w:sz w:val="16"/>
                <w:szCs w:val="16"/>
              </w:rPr>
            </w:pPr>
            <w:r w:rsidRPr="00A67FAC">
              <w:rPr>
                <w:rFonts w:ascii="Arial Narrow" w:hAnsi="Arial Narrow" w:cs="Calibri"/>
                <w:b/>
                <w:bCs/>
                <w:color w:val="000000"/>
                <w:sz w:val="16"/>
                <w:szCs w:val="16"/>
              </w:rPr>
              <w:t>Ευρωζώνη</w:t>
            </w:r>
          </w:p>
        </w:tc>
        <w:tc>
          <w:tcPr>
            <w:tcW w:w="1425"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DE399A" w:rsidRPr="00A67FAC" w:rsidRDefault="00DE399A" w:rsidP="000C4DCC">
            <w:pPr>
              <w:jc w:val="center"/>
              <w:rPr>
                <w:rFonts w:ascii="Arial Narrow" w:hAnsi="Arial Narrow" w:cs="Calibri"/>
                <w:b/>
                <w:bCs/>
                <w:color w:val="000000"/>
                <w:sz w:val="16"/>
                <w:szCs w:val="16"/>
              </w:rPr>
            </w:pPr>
            <w:r w:rsidRPr="00A67FAC">
              <w:rPr>
                <w:rFonts w:ascii="Arial Narrow" w:hAnsi="Arial Narrow" w:cs="Calibri"/>
                <w:b/>
                <w:bCs/>
                <w:color w:val="000000"/>
                <w:sz w:val="16"/>
                <w:szCs w:val="16"/>
              </w:rPr>
              <w:t>ΕΕ</w:t>
            </w:r>
          </w:p>
        </w:tc>
        <w:tc>
          <w:tcPr>
            <w:tcW w:w="1424" w:type="dxa"/>
            <w:tcBorders>
              <w:top w:val="single" w:sz="4" w:space="0" w:color="auto"/>
              <w:left w:val="single" w:sz="6" w:space="0" w:color="auto"/>
              <w:bottom w:val="single" w:sz="6" w:space="0" w:color="auto"/>
              <w:right w:val="single" w:sz="6" w:space="0" w:color="auto"/>
            </w:tcBorders>
            <w:vAlign w:val="center"/>
          </w:tcPr>
          <w:p w:rsidR="00DE399A" w:rsidRPr="00A67FAC" w:rsidRDefault="00DE399A" w:rsidP="000C4DCC">
            <w:pPr>
              <w:jc w:val="center"/>
              <w:rPr>
                <w:rFonts w:ascii="Arial Narrow" w:hAnsi="Arial Narrow" w:cs="Calibri"/>
                <w:b/>
                <w:bCs/>
                <w:color w:val="000000"/>
                <w:sz w:val="16"/>
                <w:szCs w:val="16"/>
              </w:rPr>
            </w:pPr>
            <w:r w:rsidRPr="00A67FAC">
              <w:rPr>
                <w:rFonts w:ascii="Arial Narrow" w:hAnsi="Arial Narrow" w:cs="Calibri"/>
                <w:b/>
                <w:bCs/>
                <w:color w:val="000000"/>
                <w:sz w:val="16"/>
                <w:szCs w:val="16"/>
              </w:rPr>
              <w:t>Χώρες ΟΟΣΑ</w:t>
            </w:r>
          </w:p>
        </w:tc>
        <w:tc>
          <w:tcPr>
            <w:tcW w:w="1481" w:type="dxa"/>
            <w:tcBorders>
              <w:top w:val="single" w:sz="4" w:space="0" w:color="auto"/>
              <w:left w:val="single" w:sz="6" w:space="0" w:color="auto"/>
              <w:bottom w:val="single" w:sz="6" w:space="0" w:color="auto"/>
              <w:right w:val="single" w:sz="6" w:space="0" w:color="auto"/>
            </w:tcBorders>
            <w:vAlign w:val="center"/>
          </w:tcPr>
          <w:p w:rsidR="000C4DCC" w:rsidRDefault="00DE399A" w:rsidP="000C4DCC">
            <w:pPr>
              <w:jc w:val="center"/>
              <w:rPr>
                <w:rFonts w:ascii="Arial Narrow" w:hAnsi="Arial Narrow" w:cs="Calibri"/>
                <w:b/>
                <w:bCs/>
                <w:color w:val="000000"/>
                <w:sz w:val="16"/>
                <w:szCs w:val="16"/>
                <w:lang w:val="en-US"/>
              </w:rPr>
            </w:pPr>
            <w:r w:rsidRPr="00A67FAC">
              <w:rPr>
                <w:rFonts w:ascii="Arial Narrow" w:hAnsi="Arial Narrow" w:cs="Calibri"/>
                <w:b/>
                <w:bCs/>
                <w:color w:val="000000"/>
                <w:sz w:val="16"/>
                <w:szCs w:val="16"/>
              </w:rPr>
              <w:t>Παγκόσμια</w:t>
            </w:r>
          </w:p>
          <w:p w:rsidR="00DE399A" w:rsidRPr="00A67FAC" w:rsidRDefault="00DE399A" w:rsidP="000C4DCC">
            <w:pPr>
              <w:jc w:val="center"/>
              <w:rPr>
                <w:rFonts w:ascii="Arial Narrow" w:hAnsi="Arial Narrow" w:cs="Calibri"/>
                <w:b/>
                <w:bCs/>
                <w:color w:val="000000"/>
                <w:sz w:val="16"/>
                <w:szCs w:val="16"/>
              </w:rPr>
            </w:pPr>
            <w:r w:rsidRPr="00A67FAC">
              <w:rPr>
                <w:rFonts w:ascii="Arial Narrow" w:hAnsi="Arial Narrow" w:cs="Calibri"/>
                <w:b/>
                <w:bCs/>
                <w:color w:val="000000"/>
                <w:sz w:val="16"/>
                <w:szCs w:val="16"/>
              </w:rPr>
              <w:t>οικονομία</w:t>
            </w:r>
          </w:p>
        </w:tc>
      </w:tr>
      <w:tr w:rsidR="00DE399A" w:rsidRPr="00686970" w:rsidTr="003F4DB3">
        <w:trPr>
          <w:trHeight w:val="285"/>
          <w:jc w:val="center"/>
        </w:trPr>
        <w:tc>
          <w:tcPr>
            <w:tcW w:w="1533" w:type="dxa"/>
            <w:tcBorders>
              <w:top w:val="single" w:sz="6" w:space="0" w:color="auto"/>
              <w:left w:val="single" w:sz="6"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2020*</w:t>
            </w:r>
          </w:p>
        </w:tc>
        <w:tc>
          <w:tcPr>
            <w:tcW w:w="1567" w:type="dxa"/>
            <w:tcBorders>
              <w:top w:val="single" w:sz="6"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13,1%</w:t>
            </w:r>
          </w:p>
        </w:tc>
        <w:tc>
          <w:tcPr>
            <w:tcW w:w="1567" w:type="dxa"/>
            <w:tcBorders>
              <w:top w:val="single" w:sz="6"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21,4%</w:t>
            </w:r>
          </w:p>
        </w:tc>
        <w:tc>
          <w:tcPr>
            <w:tcW w:w="1425" w:type="dxa"/>
            <w:tcBorders>
              <w:top w:val="single" w:sz="6" w:space="0" w:color="auto"/>
              <w:right w:val="nil"/>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20,9%</w:t>
            </w:r>
          </w:p>
        </w:tc>
        <w:tc>
          <w:tcPr>
            <w:tcW w:w="1424" w:type="dxa"/>
            <w:tcBorders>
              <w:top w:val="single" w:sz="6" w:space="0" w:color="auto"/>
              <w:left w:val="nil"/>
              <w:right w:val="nil"/>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81" w:type="dxa"/>
            <w:tcBorders>
              <w:top w:val="single" w:sz="6" w:space="0" w:color="auto"/>
              <w:left w:val="nil"/>
              <w:right w:val="single" w:sz="6" w:space="0" w:color="auto"/>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r>
      <w:tr w:rsidR="00DE399A" w:rsidRPr="00686970" w:rsidTr="003F4DB3">
        <w:trPr>
          <w:trHeight w:val="285"/>
          <w:jc w:val="center"/>
        </w:trPr>
        <w:tc>
          <w:tcPr>
            <w:tcW w:w="1533" w:type="dxa"/>
            <w:tcBorders>
              <w:left w:val="single" w:sz="6"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2019/2ο 6μηνο*</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12,3%</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25" w:type="dxa"/>
            <w:tcBorders>
              <w:right w:val="nil"/>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24" w:type="dxa"/>
            <w:tcBorders>
              <w:left w:val="nil"/>
              <w:right w:val="nil"/>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81" w:type="dxa"/>
            <w:tcBorders>
              <w:left w:val="nil"/>
              <w:right w:val="single" w:sz="6" w:space="0" w:color="auto"/>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r>
      <w:tr w:rsidR="00DE399A" w:rsidRPr="00686970" w:rsidTr="003F4DB3">
        <w:trPr>
          <w:trHeight w:val="285"/>
          <w:jc w:val="center"/>
        </w:trPr>
        <w:tc>
          <w:tcPr>
            <w:tcW w:w="1533" w:type="dxa"/>
            <w:tcBorders>
              <w:left w:val="single" w:sz="6"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2019/1ο 6μηνο</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11,6%</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25" w:type="dxa"/>
            <w:tcBorders>
              <w:right w:val="nil"/>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24" w:type="dxa"/>
            <w:tcBorders>
              <w:left w:val="nil"/>
              <w:right w:val="nil"/>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81" w:type="dxa"/>
            <w:tcBorders>
              <w:left w:val="nil"/>
              <w:right w:val="single" w:sz="6" w:space="0" w:color="auto"/>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r>
      <w:tr w:rsidR="00DE399A" w:rsidRPr="00686970" w:rsidTr="003F4DB3">
        <w:trPr>
          <w:trHeight w:val="285"/>
          <w:jc w:val="center"/>
        </w:trPr>
        <w:tc>
          <w:tcPr>
            <w:tcW w:w="1533" w:type="dxa"/>
            <w:tcBorders>
              <w:left w:val="single" w:sz="6"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2019*</w:t>
            </w:r>
          </w:p>
        </w:tc>
        <w:tc>
          <w:tcPr>
            <w:tcW w:w="1567" w:type="dxa"/>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11,9%</w:t>
            </w:r>
          </w:p>
        </w:tc>
        <w:tc>
          <w:tcPr>
            <w:tcW w:w="1567" w:type="dxa"/>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21,2%</w:t>
            </w:r>
          </w:p>
        </w:tc>
        <w:tc>
          <w:tcPr>
            <w:tcW w:w="1425" w:type="dxa"/>
            <w:tcBorders>
              <w:right w:val="nil"/>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20,8%</w:t>
            </w:r>
          </w:p>
        </w:tc>
        <w:tc>
          <w:tcPr>
            <w:tcW w:w="1424" w:type="dxa"/>
            <w:tcBorders>
              <w:left w:val="nil"/>
              <w:right w:val="nil"/>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81" w:type="dxa"/>
            <w:tcBorders>
              <w:left w:val="nil"/>
              <w:right w:val="single" w:sz="6" w:space="0" w:color="auto"/>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r>
      <w:tr w:rsidR="00DE399A" w:rsidRPr="00686970" w:rsidTr="003F4DB3">
        <w:trPr>
          <w:trHeight w:val="285"/>
          <w:jc w:val="center"/>
        </w:trPr>
        <w:tc>
          <w:tcPr>
            <w:tcW w:w="1533" w:type="dxa"/>
            <w:tcBorders>
              <w:left w:val="single" w:sz="6"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2018</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11,2%</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lang w:val="en-US"/>
              </w:rPr>
            </w:pPr>
            <w:r w:rsidRPr="00A67FAC">
              <w:rPr>
                <w:rFonts w:ascii="Arial Narrow" w:hAnsi="Arial Narrow" w:cs="Calibri"/>
                <w:color w:val="000000"/>
                <w:sz w:val="16"/>
                <w:szCs w:val="16"/>
              </w:rPr>
              <w:t>21,0%</w:t>
            </w:r>
          </w:p>
        </w:tc>
        <w:tc>
          <w:tcPr>
            <w:tcW w:w="1425" w:type="dxa"/>
            <w:tcBorders>
              <w:right w:val="nil"/>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20,6%</w:t>
            </w:r>
          </w:p>
        </w:tc>
        <w:tc>
          <w:tcPr>
            <w:tcW w:w="1424" w:type="dxa"/>
            <w:tcBorders>
              <w:left w:val="nil"/>
              <w:right w:val="nil"/>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c>
          <w:tcPr>
            <w:tcW w:w="1481" w:type="dxa"/>
            <w:tcBorders>
              <w:left w:val="nil"/>
              <w:right w:val="single" w:sz="6" w:space="0" w:color="auto"/>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w:t>
            </w:r>
          </w:p>
        </w:tc>
      </w:tr>
      <w:tr w:rsidR="00DE399A" w:rsidRPr="00686970" w:rsidTr="003F4DB3">
        <w:trPr>
          <w:trHeight w:val="285"/>
          <w:jc w:val="center"/>
        </w:trPr>
        <w:tc>
          <w:tcPr>
            <w:tcW w:w="1533" w:type="dxa"/>
            <w:tcBorders>
              <w:left w:val="single" w:sz="6"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2017</w:t>
            </w:r>
          </w:p>
        </w:tc>
        <w:tc>
          <w:tcPr>
            <w:tcW w:w="1567" w:type="dxa"/>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13,0%</w:t>
            </w:r>
          </w:p>
        </w:tc>
        <w:tc>
          <w:tcPr>
            <w:tcW w:w="1567" w:type="dxa"/>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20,7%</w:t>
            </w:r>
          </w:p>
        </w:tc>
        <w:tc>
          <w:tcPr>
            <w:tcW w:w="1425" w:type="dxa"/>
            <w:tcBorders>
              <w:right w:val="nil"/>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20,4%</w:t>
            </w:r>
          </w:p>
        </w:tc>
        <w:tc>
          <w:tcPr>
            <w:tcW w:w="1424" w:type="dxa"/>
            <w:tcBorders>
              <w:left w:val="nil"/>
              <w:right w:val="nil"/>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21,7%</w:t>
            </w:r>
          </w:p>
        </w:tc>
        <w:tc>
          <w:tcPr>
            <w:tcW w:w="1481" w:type="dxa"/>
            <w:tcBorders>
              <w:left w:val="nil"/>
              <w:right w:val="single" w:sz="6" w:space="0" w:color="auto"/>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25,0%</w:t>
            </w:r>
          </w:p>
        </w:tc>
      </w:tr>
      <w:tr w:rsidR="00DE399A" w:rsidRPr="00686970" w:rsidTr="003F4DB3">
        <w:trPr>
          <w:trHeight w:val="285"/>
          <w:jc w:val="center"/>
        </w:trPr>
        <w:tc>
          <w:tcPr>
            <w:tcW w:w="1533" w:type="dxa"/>
            <w:tcBorders>
              <w:left w:val="single" w:sz="6"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2016</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12,0%</w:t>
            </w:r>
          </w:p>
        </w:tc>
        <w:tc>
          <w:tcPr>
            <w:tcW w:w="1567" w:type="dxa"/>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20,7%</w:t>
            </w:r>
          </w:p>
        </w:tc>
        <w:tc>
          <w:tcPr>
            <w:tcW w:w="1425" w:type="dxa"/>
            <w:tcBorders>
              <w:right w:val="nil"/>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20,3%</w:t>
            </w:r>
          </w:p>
        </w:tc>
        <w:tc>
          <w:tcPr>
            <w:tcW w:w="1424" w:type="dxa"/>
            <w:tcBorders>
              <w:left w:val="nil"/>
              <w:right w:val="nil"/>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21,4%</w:t>
            </w:r>
          </w:p>
        </w:tc>
        <w:tc>
          <w:tcPr>
            <w:tcW w:w="1481" w:type="dxa"/>
            <w:tcBorders>
              <w:left w:val="nil"/>
              <w:right w:val="single" w:sz="6" w:space="0" w:color="auto"/>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24,8%</w:t>
            </w:r>
          </w:p>
        </w:tc>
      </w:tr>
      <w:tr w:rsidR="00DE399A" w:rsidRPr="00686970" w:rsidTr="003F4DB3">
        <w:trPr>
          <w:trHeight w:val="285"/>
          <w:jc w:val="center"/>
        </w:trPr>
        <w:tc>
          <w:tcPr>
            <w:tcW w:w="1533" w:type="dxa"/>
            <w:tcBorders>
              <w:left w:val="single" w:sz="6"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2015</w:t>
            </w:r>
          </w:p>
        </w:tc>
        <w:tc>
          <w:tcPr>
            <w:tcW w:w="1567" w:type="dxa"/>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11,5%</w:t>
            </w:r>
          </w:p>
        </w:tc>
        <w:tc>
          <w:tcPr>
            <w:tcW w:w="1567" w:type="dxa"/>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20,3%</w:t>
            </w:r>
          </w:p>
        </w:tc>
        <w:tc>
          <w:tcPr>
            <w:tcW w:w="1425" w:type="dxa"/>
            <w:tcBorders>
              <w:right w:val="nil"/>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20,0%</w:t>
            </w:r>
          </w:p>
        </w:tc>
        <w:tc>
          <w:tcPr>
            <w:tcW w:w="1424" w:type="dxa"/>
            <w:tcBorders>
              <w:left w:val="nil"/>
              <w:right w:val="nil"/>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21,5%</w:t>
            </w:r>
          </w:p>
        </w:tc>
        <w:tc>
          <w:tcPr>
            <w:tcW w:w="1481" w:type="dxa"/>
            <w:tcBorders>
              <w:left w:val="nil"/>
              <w:right w:val="single" w:sz="6" w:space="0" w:color="auto"/>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25,1%</w:t>
            </w:r>
          </w:p>
        </w:tc>
      </w:tr>
      <w:tr w:rsidR="00DE399A" w:rsidRPr="00686970" w:rsidTr="003F4DB3">
        <w:trPr>
          <w:trHeight w:val="285"/>
          <w:jc w:val="center"/>
        </w:trPr>
        <w:tc>
          <w:tcPr>
            <w:tcW w:w="1533" w:type="dxa"/>
            <w:tcBorders>
              <w:left w:val="single" w:sz="6" w:space="0" w:color="auto"/>
              <w:bottom w:val="single" w:sz="4"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2014</w:t>
            </w:r>
          </w:p>
        </w:tc>
        <w:tc>
          <w:tcPr>
            <w:tcW w:w="1567" w:type="dxa"/>
            <w:tcBorders>
              <w:bottom w:val="single" w:sz="4"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11,4%</w:t>
            </w:r>
          </w:p>
        </w:tc>
        <w:tc>
          <w:tcPr>
            <w:tcW w:w="1567" w:type="dxa"/>
            <w:tcBorders>
              <w:bottom w:val="single" w:sz="4"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19,7%</w:t>
            </w:r>
          </w:p>
        </w:tc>
        <w:tc>
          <w:tcPr>
            <w:tcW w:w="1425" w:type="dxa"/>
            <w:tcBorders>
              <w:bottom w:val="single" w:sz="4" w:space="0" w:color="auto"/>
              <w:right w:val="nil"/>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19,6%</w:t>
            </w:r>
          </w:p>
        </w:tc>
        <w:tc>
          <w:tcPr>
            <w:tcW w:w="1424" w:type="dxa"/>
            <w:tcBorders>
              <w:left w:val="nil"/>
              <w:bottom w:val="single" w:sz="4" w:space="0" w:color="auto"/>
              <w:right w:val="nil"/>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21,3%</w:t>
            </w:r>
          </w:p>
        </w:tc>
        <w:tc>
          <w:tcPr>
            <w:tcW w:w="1481" w:type="dxa"/>
            <w:tcBorders>
              <w:left w:val="nil"/>
              <w:bottom w:val="single" w:sz="4" w:space="0" w:color="auto"/>
              <w:right w:val="single" w:sz="6" w:space="0" w:color="auto"/>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24,9%</w:t>
            </w:r>
          </w:p>
        </w:tc>
      </w:tr>
      <w:tr w:rsidR="00DE399A" w:rsidRPr="00686970" w:rsidTr="003F4DB3">
        <w:trPr>
          <w:trHeight w:val="285"/>
          <w:jc w:val="center"/>
        </w:trPr>
        <w:tc>
          <w:tcPr>
            <w:tcW w:w="1533" w:type="dxa"/>
            <w:tcBorders>
              <w:top w:val="single" w:sz="4" w:space="0" w:color="auto"/>
              <w:left w:val="single" w:sz="6" w:space="0" w:color="auto"/>
              <w:bottom w:val="single" w:sz="4"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2009</w:t>
            </w:r>
          </w:p>
        </w:tc>
        <w:tc>
          <w:tcPr>
            <w:tcW w:w="1567" w:type="dxa"/>
            <w:tcBorders>
              <w:top w:val="single" w:sz="4" w:space="0" w:color="auto"/>
              <w:bottom w:val="single" w:sz="4"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20,6%</w:t>
            </w:r>
          </w:p>
        </w:tc>
        <w:tc>
          <w:tcPr>
            <w:tcW w:w="1567" w:type="dxa"/>
            <w:tcBorders>
              <w:top w:val="single" w:sz="4" w:space="0" w:color="auto"/>
              <w:bottom w:val="single" w:sz="4" w:space="0" w:color="auto"/>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21,2%</w:t>
            </w:r>
          </w:p>
        </w:tc>
        <w:tc>
          <w:tcPr>
            <w:tcW w:w="1425" w:type="dxa"/>
            <w:tcBorders>
              <w:top w:val="single" w:sz="4" w:space="0" w:color="auto"/>
              <w:bottom w:val="single" w:sz="4" w:space="0" w:color="auto"/>
              <w:right w:val="nil"/>
            </w:tcBorders>
            <w:shd w:val="clear" w:color="auto" w:fill="A6A6A6" w:themeFill="background1" w:themeFillShade="A6"/>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20,5%</w:t>
            </w:r>
          </w:p>
        </w:tc>
        <w:tc>
          <w:tcPr>
            <w:tcW w:w="1424" w:type="dxa"/>
            <w:tcBorders>
              <w:top w:val="single" w:sz="4" w:space="0" w:color="auto"/>
              <w:left w:val="nil"/>
              <w:bottom w:val="single" w:sz="4" w:space="0" w:color="auto"/>
              <w:right w:val="nil"/>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20,9%</w:t>
            </w:r>
          </w:p>
        </w:tc>
        <w:tc>
          <w:tcPr>
            <w:tcW w:w="1481" w:type="dxa"/>
            <w:tcBorders>
              <w:top w:val="single" w:sz="4" w:space="0" w:color="auto"/>
              <w:left w:val="nil"/>
              <w:bottom w:val="single" w:sz="4" w:space="0" w:color="auto"/>
              <w:right w:val="single" w:sz="6" w:space="0" w:color="auto"/>
            </w:tcBorders>
            <w:shd w:val="clear" w:color="auto" w:fill="A6A6A6" w:themeFill="background1" w:themeFillShade="A6"/>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23,5%</w:t>
            </w:r>
          </w:p>
        </w:tc>
      </w:tr>
      <w:tr w:rsidR="00DE399A" w:rsidRPr="00E4487D" w:rsidTr="003F4DB3">
        <w:trPr>
          <w:trHeight w:val="285"/>
          <w:jc w:val="center"/>
        </w:trPr>
        <w:tc>
          <w:tcPr>
            <w:tcW w:w="1533" w:type="dxa"/>
            <w:tcBorders>
              <w:top w:val="single" w:sz="4" w:space="0" w:color="auto"/>
              <w:left w:val="single" w:sz="6" w:space="0" w:color="auto"/>
              <w:bottom w:val="single" w:sz="6"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2004</w:t>
            </w:r>
          </w:p>
        </w:tc>
        <w:tc>
          <w:tcPr>
            <w:tcW w:w="1567" w:type="dxa"/>
            <w:tcBorders>
              <w:top w:val="single" w:sz="4" w:space="0" w:color="auto"/>
              <w:bottom w:val="single" w:sz="6"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22,1%</w:t>
            </w:r>
          </w:p>
        </w:tc>
        <w:tc>
          <w:tcPr>
            <w:tcW w:w="1567" w:type="dxa"/>
            <w:tcBorders>
              <w:top w:val="single" w:sz="4" w:space="0" w:color="auto"/>
              <w:bottom w:val="single" w:sz="6" w:space="0" w:color="auto"/>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21,9%</w:t>
            </w:r>
          </w:p>
        </w:tc>
        <w:tc>
          <w:tcPr>
            <w:tcW w:w="1425" w:type="dxa"/>
            <w:tcBorders>
              <w:top w:val="single" w:sz="4" w:space="0" w:color="auto"/>
              <w:bottom w:val="single" w:sz="6" w:space="0" w:color="auto"/>
              <w:right w:val="nil"/>
            </w:tcBorders>
            <w:shd w:val="clear" w:color="auto" w:fill="auto"/>
            <w:noWrap/>
            <w:vAlign w:val="center"/>
            <w:hideMark/>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21,0%</w:t>
            </w:r>
          </w:p>
        </w:tc>
        <w:tc>
          <w:tcPr>
            <w:tcW w:w="1424" w:type="dxa"/>
            <w:tcBorders>
              <w:top w:val="single" w:sz="4" w:space="0" w:color="auto"/>
              <w:left w:val="nil"/>
              <w:bottom w:val="single" w:sz="6" w:space="0" w:color="auto"/>
              <w:right w:val="nil"/>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22,3%</w:t>
            </w:r>
          </w:p>
        </w:tc>
        <w:tc>
          <w:tcPr>
            <w:tcW w:w="1481" w:type="dxa"/>
            <w:tcBorders>
              <w:top w:val="single" w:sz="4" w:space="0" w:color="auto"/>
              <w:left w:val="nil"/>
              <w:bottom w:val="single" w:sz="6" w:space="0" w:color="auto"/>
              <w:right w:val="single" w:sz="6" w:space="0" w:color="auto"/>
            </w:tcBorders>
            <w:vAlign w:val="center"/>
          </w:tcPr>
          <w:p w:rsidR="00DE399A" w:rsidRPr="00A67FAC" w:rsidRDefault="00DE399A" w:rsidP="00CC20C5">
            <w:pPr>
              <w:jc w:val="center"/>
              <w:rPr>
                <w:rFonts w:ascii="Arial Narrow" w:hAnsi="Arial Narrow" w:cs="Calibri"/>
                <w:color w:val="000000"/>
                <w:sz w:val="16"/>
                <w:szCs w:val="16"/>
              </w:rPr>
            </w:pPr>
            <w:r w:rsidRPr="00A67FAC">
              <w:rPr>
                <w:rFonts w:ascii="Arial Narrow" w:hAnsi="Arial Narrow" w:cs="Calibri"/>
                <w:color w:val="000000"/>
                <w:sz w:val="16"/>
                <w:szCs w:val="16"/>
              </w:rPr>
              <w:t>22,9%</w:t>
            </w:r>
          </w:p>
        </w:tc>
      </w:tr>
    </w:tbl>
    <w:p w:rsidR="00DE399A" w:rsidRPr="003F4DB3" w:rsidRDefault="00DE399A" w:rsidP="003F4DB3">
      <w:pPr>
        <w:jc w:val="both"/>
        <w:rPr>
          <w:rFonts w:ascii="Arial Narrow" w:hAnsi="Arial Narrow"/>
          <w:sz w:val="16"/>
          <w:szCs w:val="18"/>
        </w:rPr>
      </w:pPr>
      <w:r w:rsidRPr="00E545C6">
        <w:rPr>
          <w:rFonts w:ascii="Arial Narrow" w:hAnsi="Arial Narrow"/>
          <w:sz w:val="16"/>
          <w:szCs w:val="18"/>
        </w:rPr>
        <w:t>Πηγή: Ετήσιοι Εθνικοί Λογαριασμοί</w:t>
      </w:r>
      <w:r>
        <w:rPr>
          <w:rFonts w:ascii="Arial Narrow" w:hAnsi="Arial Narrow"/>
          <w:sz w:val="16"/>
          <w:szCs w:val="18"/>
        </w:rPr>
        <w:t xml:space="preserve"> 2018</w:t>
      </w:r>
      <w:r w:rsidRPr="00E545C6">
        <w:rPr>
          <w:rFonts w:ascii="Arial Narrow" w:hAnsi="Arial Narrow"/>
          <w:sz w:val="16"/>
          <w:szCs w:val="18"/>
        </w:rPr>
        <w:t xml:space="preserve"> (Ελληνική Στατιστική Αρχή),</w:t>
      </w:r>
      <w:r w:rsidR="005B078D">
        <w:rPr>
          <w:rFonts w:ascii="Arial Narrow" w:hAnsi="Arial Narrow"/>
          <w:sz w:val="16"/>
          <w:szCs w:val="18"/>
        </w:rPr>
        <w:t xml:space="preserve"> </w:t>
      </w:r>
      <w:r>
        <w:rPr>
          <w:rFonts w:ascii="Arial Narrow" w:hAnsi="Arial Narrow"/>
          <w:sz w:val="16"/>
          <w:szCs w:val="18"/>
          <w:lang w:val="en-US"/>
        </w:rPr>
        <w:t>Eurostat</w:t>
      </w:r>
      <w:r w:rsidRPr="00580028">
        <w:rPr>
          <w:rFonts w:ascii="Arial Narrow" w:hAnsi="Arial Narrow"/>
          <w:sz w:val="16"/>
          <w:szCs w:val="18"/>
        </w:rPr>
        <w:t>,</w:t>
      </w:r>
      <w:r w:rsidRPr="00AF732B">
        <w:rPr>
          <w:rFonts w:ascii="Arial Narrow" w:hAnsi="Arial Narrow"/>
          <w:sz w:val="16"/>
          <w:szCs w:val="18"/>
        </w:rPr>
        <w:t xml:space="preserve"> </w:t>
      </w:r>
      <w:r>
        <w:rPr>
          <w:rFonts w:ascii="Arial Narrow" w:hAnsi="Arial Narrow"/>
          <w:sz w:val="16"/>
          <w:szCs w:val="18"/>
        </w:rPr>
        <w:t>βάσεις δεδομένων ΟΟΣΑ/Παγκόσμιας Τράπεζας,</w:t>
      </w:r>
      <w:r w:rsidRPr="00E545C6">
        <w:rPr>
          <w:rFonts w:ascii="Arial Narrow" w:hAnsi="Arial Narrow"/>
          <w:sz w:val="16"/>
          <w:szCs w:val="18"/>
        </w:rPr>
        <w:t xml:space="preserve"> </w:t>
      </w:r>
      <w:r>
        <w:rPr>
          <w:rFonts w:ascii="Arial Narrow" w:hAnsi="Arial Narrow"/>
          <w:sz w:val="16"/>
          <w:szCs w:val="18"/>
        </w:rPr>
        <w:t>επεξεργασία στοιχε</w:t>
      </w:r>
      <w:r>
        <w:rPr>
          <w:rFonts w:ascii="Arial Narrow" w:hAnsi="Arial Narrow"/>
          <w:sz w:val="16"/>
          <w:szCs w:val="18"/>
        </w:rPr>
        <w:t>ί</w:t>
      </w:r>
      <w:r>
        <w:rPr>
          <w:rFonts w:ascii="Arial Narrow" w:hAnsi="Arial Narrow"/>
          <w:sz w:val="16"/>
          <w:szCs w:val="18"/>
        </w:rPr>
        <w:t>ων/</w:t>
      </w:r>
      <w:r w:rsidRPr="00E545C6">
        <w:rPr>
          <w:rFonts w:ascii="Arial Narrow" w:hAnsi="Arial Narrow"/>
          <w:sz w:val="16"/>
          <w:szCs w:val="18"/>
        </w:rPr>
        <w:t>εκτιμήσεις/προβλέψεις Υπουργείου</w:t>
      </w:r>
      <w:r>
        <w:rPr>
          <w:rFonts w:ascii="Arial Narrow" w:hAnsi="Arial Narrow"/>
          <w:sz w:val="16"/>
          <w:szCs w:val="18"/>
        </w:rPr>
        <w:t xml:space="preserve"> </w:t>
      </w:r>
      <w:r w:rsidRPr="00E545C6">
        <w:rPr>
          <w:rFonts w:ascii="Arial Narrow" w:hAnsi="Arial Narrow"/>
          <w:sz w:val="16"/>
          <w:szCs w:val="18"/>
        </w:rPr>
        <w:t>Οικονομικών</w:t>
      </w:r>
      <w:r w:rsidR="003F4DB3" w:rsidRPr="003F4DB3">
        <w:rPr>
          <w:rFonts w:ascii="Arial Narrow" w:hAnsi="Arial Narrow"/>
          <w:sz w:val="16"/>
          <w:szCs w:val="18"/>
        </w:rPr>
        <w:t>.</w:t>
      </w:r>
    </w:p>
    <w:p w:rsidR="00DE399A" w:rsidRDefault="00DE399A" w:rsidP="003F4DB3">
      <w:pPr>
        <w:ind w:right="-1"/>
        <w:jc w:val="both"/>
        <w:rPr>
          <w:rFonts w:ascii="Arial Narrow" w:hAnsi="Arial Narrow"/>
          <w:sz w:val="16"/>
          <w:szCs w:val="18"/>
        </w:rPr>
      </w:pPr>
      <w:r w:rsidRPr="00E545C6">
        <w:rPr>
          <w:rFonts w:ascii="Arial Narrow" w:hAnsi="Arial Narrow"/>
          <w:sz w:val="16"/>
          <w:szCs w:val="18"/>
        </w:rPr>
        <w:t>* Εκτιμήσεις/προβλέψεις</w:t>
      </w:r>
    </w:p>
    <w:p w:rsidR="00DE399A" w:rsidRPr="001E55EC" w:rsidRDefault="00DE399A" w:rsidP="003F4DB3">
      <w:pPr>
        <w:ind w:right="-1"/>
        <w:jc w:val="both"/>
        <w:rPr>
          <w:rFonts w:ascii="Arial Narrow" w:hAnsi="Arial Narrow"/>
          <w:i/>
          <w:sz w:val="16"/>
          <w:szCs w:val="18"/>
        </w:rPr>
      </w:pPr>
      <w:r w:rsidRPr="001E55EC">
        <w:rPr>
          <w:rFonts w:ascii="Arial Narrow" w:hAnsi="Arial Narrow"/>
          <w:i/>
          <w:sz w:val="16"/>
          <w:szCs w:val="18"/>
        </w:rPr>
        <w:t xml:space="preserve">Σημείωση: Για τις χώρες του ΟΟΣΑ και την παγκόσμια οικονομία, διαθεσιμότητα στοιχείων σε τρέχουσες τιμές. </w:t>
      </w:r>
    </w:p>
    <w:p w:rsidR="00DE399A" w:rsidRDefault="00DE399A" w:rsidP="00DE399A">
      <w:pPr>
        <w:jc w:val="both"/>
        <w:rPr>
          <w:rFonts w:ascii="Arial Narrow" w:hAnsi="Arial Narrow"/>
          <w:sz w:val="16"/>
          <w:szCs w:val="18"/>
        </w:rPr>
      </w:pPr>
      <w:r>
        <w:rPr>
          <w:rFonts w:ascii="Arial Narrow" w:hAnsi="Arial Narrow"/>
          <w:sz w:val="16"/>
          <w:szCs w:val="18"/>
        </w:rPr>
        <w:t xml:space="preserve">       </w:t>
      </w:r>
    </w:p>
    <w:p w:rsidR="00DE399A" w:rsidRPr="000416F9" w:rsidRDefault="00DE399A" w:rsidP="00DE399A">
      <w:pPr>
        <w:jc w:val="both"/>
        <w:rPr>
          <w:sz w:val="22"/>
        </w:rPr>
      </w:pPr>
      <w:r w:rsidRPr="00D6175A">
        <w:rPr>
          <w:noProof/>
          <w:sz w:val="22"/>
        </w:rPr>
        <w:t xml:space="preserve">Τα υποδιπλάσια ποσοστά ακαθάριστων επενδύσεων ως ποσοστό του ΑΕΠ έναντι της προ κρίσης περιόδου υποδηλώνουν την ακόμα πιο δραματική (υποτριπλάσια) μείωσή τους σε όρους ετήσιου ύψους τους (επίπεδο τιμών). Αυτό εξηγεί το καταγραφόμενο από το 2011 μεγαλύτερο ύψος ετήσιας ανάλωσης παγίου κεφαλαίου έναντι του νέου σχηματισμού του, που σηματοδοτεί τη μη επάρκεια των νέων επενδύσεων </w:t>
      </w:r>
      <w:r w:rsidRPr="00D6175A">
        <w:rPr>
          <w:sz w:val="22"/>
        </w:rPr>
        <w:t>για την αντικατάσταση του φυσικού κεφαλαίου που φθείρεται ή απαξιώνεται. Ως εκ τούτου, αρνητικές υπήρξαν οι καθαρές επενδύσεις σε όλη την περίοδο από το 2011, επιφέροντας με</w:t>
      </w:r>
      <w:r w:rsidRPr="00D6175A">
        <w:rPr>
          <w:sz w:val="22"/>
        </w:rPr>
        <w:t>ί</w:t>
      </w:r>
      <w:r w:rsidRPr="00D6175A">
        <w:rPr>
          <w:sz w:val="22"/>
        </w:rPr>
        <w:t>ωση του φυσικού κεφαλαίου της οικονομίας (πίνακας 1.3). </w:t>
      </w:r>
      <w:r w:rsidR="00953AB5">
        <w:rPr>
          <w:sz w:val="22"/>
        </w:rPr>
        <w:t>Μετά το 2020</w:t>
      </w:r>
      <w:r w:rsidRPr="00D6175A">
        <w:rPr>
          <w:sz w:val="22"/>
        </w:rPr>
        <w:t>, η νέα ανάκαμψη των ακ</w:t>
      </w:r>
      <w:r w:rsidRPr="00D6175A">
        <w:rPr>
          <w:sz w:val="22"/>
        </w:rPr>
        <w:t>α</w:t>
      </w:r>
      <w:r w:rsidRPr="00D6175A">
        <w:rPr>
          <w:sz w:val="22"/>
        </w:rPr>
        <w:t>θάριστων επενδύσεων, που σταδιακά θα επιταχύνεται υπό τη στήριξη των νέων μέτρων επενδυτικών κινήτρων και της εμπέδωσης του κλίματος εμπιστοσύνης, αναμένεται να αναστρέψει μεσοπρόθεσμα τη μείωση του φυσικού κεφαλαίου.</w:t>
      </w:r>
    </w:p>
    <w:p w:rsidR="00C332D9" w:rsidRPr="000416F9" w:rsidRDefault="00C332D9" w:rsidP="00DE399A">
      <w:pPr>
        <w:jc w:val="both"/>
        <w:rPr>
          <w:sz w:val="22"/>
        </w:rPr>
      </w:pPr>
    </w:p>
    <w:tbl>
      <w:tblPr>
        <w:tblW w:w="8421" w:type="dxa"/>
        <w:jc w:val="center"/>
        <w:tblBorders>
          <w:top w:val="single" w:sz="4" w:space="0" w:color="auto"/>
          <w:left w:val="single" w:sz="4" w:space="0" w:color="auto"/>
          <w:bottom w:val="single" w:sz="4" w:space="0" w:color="auto"/>
          <w:right w:val="single" w:sz="4" w:space="0" w:color="auto"/>
        </w:tblBorders>
        <w:tblLook w:val="04A0"/>
      </w:tblPr>
      <w:tblGrid>
        <w:gridCol w:w="2510"/>
        <w:gridCol w:w="1985"/>
        <w:gridCol w:w="2126"/>
        <w:gridCol w:w="1800"/>
      </w:tblGrid>
      <w:tr w:rsidR="00C332D9" w:rsidRPr="00A6221E" w:rsidTr="000C4DCC">
        <w:trPr>
          <w:trHeight w:val="520"/>
          <w:jc w:val="center"/>
        </w:trPr>
        <w:tc>
          <w:tcPr>
            <w:tcW w:w="8421" w:type="dxa"/>
            <w:gridSpan w:val="4"/>
            <w:tcBorders>
              <w:top w:val="single" w:sz="6" w:space="0" w:color="auto"/>
              <w:left w:val="single" w:sz="4" w:space="0" w:color="auto"/>
              <w:bottom w:val="nil"/>
              <w:right w:val="single" w:sz="4" w:space="0" w:color="auto"/>
            </w:tcBorders>
            <w:shd w:val="clear" w:color="auto" w:fill="404040" w:themeFill="text1" w:themeFillTint="BF"/>
            <w:noWrap/>
            <w:vAlign w:val="bottom"/>
            <w:hideMark/>
          </w:tcPr>
          <w:p w:rsidR="00C332D9" w:rsidRPr="003F4DB3" w:rsidRDefault="00C332D9" w:rsidP="00C332D9">
            <w:pPr>
              <w:spacing w:before="120"/>
              <w:jc w:val="center"/>
              <w:rPr>
                <w:rFonts w:ascii="Arial Narrow" w:hAnsi="Arial Narrow" w:cs="Calibri"/>
                <w:b/>
                <w:bCs/>
                <w:color w:val="FFFFFF" w:themeColor="background1"/>
              </w:rPr>
            </w:pPr>
            <w:r w:rsidRPr="003F4DB3">
              <w:rPr>
                <w:rFonts w:ascii="Arial Narrow" w:hAnsi="Arial Narrow" w:cs="Calibri"/>
                <w:b/>
                <w:bCs/>
                <w:color w:val="FFFFFF" w:themeColor="background1"/>
              </w:rPr>
              <w:t>Πίνακας 1.3 Καθαρές επενδύσεις παγίου κεφαλαίου (τρέχουσες τιμές)</w:t>
            </w:r>
          </w:p>
          <w:p w:rsidR="00C332D9" w:rsidRPr="003F4DB3" w:rsidRDefault="00C332D9" w:rsidP="00C332D9">
            <w:pPr>
              <w:spacing w:after="120"/>
              <w:jc w:val="center"/>
              <w:rPr>
                <w:rFonts w:ascii="Arial Narrow" w:hAnsi="Arial Narrow" w:cs="Calibri"/>
                <w:b/>
                <w:bCs/>
                <w:color w:val="FFFFFF" w:themeColor="background1"/>
              </w:rPr>
            </w:pPr>
            <w:r w:rsidRPr="003F4DB3">
              <w:rPr>
                <w:rFonts w:ascii="Arial Narrow" w:hAnsi="Arial Narrow" w:cs="Calibri"/>
                <w:b/>
                <w:bCs/>
                <w:color w:val="FFFFFF" w:themeColor="background1"/>
              </w:rPr>
              <w:t>σε δισ. ευρώ</w:t>
            </w:r>
          </w:p>
        </w:tc>
      </w:tr>
      <w:tr w:rsidR="00FE34F3" w:rsidRPr="00A6221E" w:rsidTr="000C4DCC">
        <w:trPr>
          <w:trHeight w:val="227"/>
          <w:jc w:val="center"/>
        </w:trPr>
        <w:tc>
          <w:tcPr>
            <w:tcW w:w="8421" w:type="dxa"/>
            <w:gridSpan w:val="4"/>
            <w:tcBorders>
              <w:top w:val="nil"/>
              <w:left w:val="single" w:sz="4" w:space="0" w:color="auto"/>
              <w:bottom w:val="single" w:sz="4" w:space="0" w:color="auto"/>
              <w:right w:val="single" w:sz="4" w:space="0" w:color="auto"/>
            </w:tcBorders>
            <w:shd w:val="clear" w:color="auto" w:fill="FFFFFF" w:themeFill="background1"/>
            <w:noWrap/>
            <w:vAlign w:val="bottom"/>
            <w:hideMark/>
          </w:tcPr>
          <w:p w:rsidR="00FE34F3" w:rsidRPr="003F4DB3" w:rsidRDefault="00FE34F3" w:rsidP="00FE34F3">
            <w:pPr>
              <w:jc w:val="center"/>
              <w:rPr>
                <w:rFonts w:ascii="Arial Narrow" w:hAnsi="Arial Narrow" w:cs="Calibri"/>
                <w:b/>
                <w:bCs/>
                <w:color w:val="FFFFFF" w:themeColor="background1"/>
              </w:rPr>
            </w:pPr>
          </w:p>
        </w:tc>
      </w:tr>
      <w:tr w:rsidR="00C332D9" w:rsidRPr="003F4DB3" w:rsidTr="000C4DCC">
        <w:trPr>
          <w:trHeight w:val="326"/>
          <w:jc w:val="center"/>
        </w:trPr>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D9" w:rsidRPr="003F4DB3" w:rsidRDefault="00C332D9" w:rsidP="00C332D9">
            <w:pPr>
              <w:rPr>
                <w:rFonts w:ascii="Arial Narrow" w:hAnsi="Arial Narrow" w:cs="Calibri"/>
                <w:color w:val="000000"/>
                <w:sz w:val="16"/>
                <w:szCs w:val="16"/>
              </w:rPr>
            </w:pPr>
            <w:r w:rsidRPr="003F4DB3">
              <w:rPr>
                <w:rFonts w:ascii="Arial Narrow" w:hAnsi="Arial Narrow" w:cs="Calibri"/>
                <w:color w:val="000000"/>
                <w:sz w:val="16"/>
                <w:szCs w:val="16"/>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b/>
                <w:bCs/>
                <w:color w:val="000000"/>
                <w:sz w:val="16"/>
                <w:szCs w:val="16"/>
              </w:rPr>
            </w:pPr>
            <w:r w:rsidRPr="003F4DB3">
              <w:rPr>
                <w:rFonts w:ascii="Arial Narrow" w:hAnsi="Arial Narrow" w:cs="Calibri"/>
                <w:b/>
                <w:bCs/>
                <w:color w:val="000000"/>
                <w:sz w:val="16"/>
                <w:szCs w:val="16"/>
              </w:rPr>
              <w:t>Ακαθάριστες επενδύσεις παγίου κεφαλαίου</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AB5" w:rsidRDefault="00C332D9" w:rsidP="00C332D9">
            <w:pPr>
              <w:jc w:val="center"/>
              <w:rPr>
                <w:rFonts w:ascii="Arial Narrow" w:hAnsi="Arial Narrow" w:cs="Calibri"/>
                <w:b/>
                <w:bCs/>
                <w:color w:val="000000"/>
                <w:sz w:val="16"/>
                <w:szCs w:val="16"/>
              </w:rPr>
            </w:pPr>
            <w:r w:rsidRPr="003F4DB3">
              <w:rPr>
                <w:rFonts w:ascii="Arial Narrow" w:hAnsi="Arial Narrow" w:cs="Calibri"/>
                <w:b/>
                <w:bCs/>
                <w:color w:val="000000"/>
                <w:sz w:val="16"/>
                <w:szCs w:val="16"/>
              </w:rPr>
              <w:t xml:space="preserve">Καθαρές επενδύσεις </w:t>
            </w:r>
          </w:p>
          <w:p w:rsidR="00C332D9" w:rsidRPr="003F4DB3" w:rsidRDefault="00C332D9" w:rsidP="00C332D9">
            <w:pPr>
              <w:jc w:val="center"/>
              <w:rPr>
                <w:rFonts w:ascii="Arial Narrow" w:hAnsi="Arial Narrow" w:cs="Calibri"/>
                <w:b/>
                <w:bCs/>
                <w:color w:val="000000"/>
                <w:sz w:val="16"/>
                <w:szCs w:val="16"/>
              </w:rPr>
            </w:pPr>
            <w:r w:rsidRPr="003F4DB3">
              <w:rPr>
                <w:rFonts w:ascii="Arial Narrow" w:hAnsi="Arial Narrow" w:cs="Calibri"/>
                <w:b/>
                <w:bCs/>
                <w:color w:val="000000"/>
                <w:sz w:val="16"/>
                <w:szCs w:val="16"/>
              </w:rPr>
              <w:t>παγίου κεφαλαίου</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AB5" w:rsidRDefault="00C332D9" w:rsidP="00C332D9">
            <w:pPr>
              <w:jc w:val="center"/>
              <w:rPr>
                <w:rFonts w:ascii="Arial Narrow" w:hAnsi="Arial Narrow" w:cs="Calibri"/>
                <w:b/>
                <w:bCs/>
                <w:color w:val="000000"/>
                <w:sz w:val="16"/>
                <w:szCs w:val="16"/>
              </w:rPr>
            </w:pPr>
            <w:r w:rsidRPr="003F4DB3">
              <w:rPr>
                <w:rFonts w:ascii="Arial Narrow" w:hAnsi="Arial Narrow" w:cs="Calibri"/>
                <w:b/>
                <w:bCs/>
                <w:color w:val="000000"/>
                <w:sz w:val="16"/>
                <w:szCs w:val="16"/>
              </w:rPr>
              <w:t xml:space="preserve">Ανάλωση παγίου </w:t>
            </w:r>
          </w:p>
          <w:p w:rsidR="00C332D9" w:rsidRPr="003F4DB3" w:rsidRDefault="00C332D9" w:rsidP="00C332D9">
            <w:pPr>
              <w:jc w:val="center"/>
              <w:rPr>
                <w:rFonts w:ascii="Arial Narrow" w:hAnsi="Arial Narrow" w:cs="Calibri"/>
                <w:b/>
                <w:bCs/>
                <w:color w:val="000000"/>
                <w:sz w:val="16"/>
                <w:szCs w:val="16"/>
              </w:rPr>
            </w:pPr>
            <w:r w:rsidRPr="003F4DB3">
              <w:rPr>
                <w:rFonts w:ascii="Arial Narrow" w:hAnsi="Arial Narrow" w:cs="Calibri"/>
                <w:b/>
                <w:bCs/>
                <w:color w:val="000000"/>
                <w:sz w:val="16"/>
                <w:szCs w:val="16"/>
              </w:rPr>
              <w:t>κεφαλαίου (αποσβέσεις)</w:t>
            </w:r>
          </w:p>
        </w:tc>
      </w:tr>
      <w:tr w:rsidR="00C332D9" w:rsidRPr="003F4DB3" w:rsidTr="000C4DCC">
        <w:trPr>
          <w:trHeight w:val="227"/>
          <w:jc w:val="center"/>
        </w:trPr>
        <w:tc>
          <w:tcPr>
            <w:tcW w:w="2510" w:type="dxa"/>
            <w:tcBorders>
              <w:top w:val="single" w:sz="4" w:space="0" w:color="auto"/>
              <w:lef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2020*</w:t>
            </w:r>
          </w:p>
        </w:tc>
        <w:tc>
          <w:tcPr>
            <w:tcW w:w="1985" w:type="dxa"/>
            <w:tcBorders>
              <w:top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25,8</w:t>
            </w:r>
          </w:p>
        </w:tc>
        <w:tc>
          <w:tcPr>
            <w:tcW w:w="2126" w:type="dxa"/>
            <w:tcBorders>
              <w:top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-3,0</w:t>
            </w:r>
          </w:p>
        </w:tc>
        <w:tc>
          <w:tcPr>
            <w:tcW w:w="1800" w:type="dxa"/>
            <w:tcBorders>
              <w:top w:val="single" w:sz="4" w:space="0" w:color="auto"/>
              <w:righ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28,8</w:t>
            </w:r>
          </w:p>
        </w:tc>
      </w:tr>
      <w:tr w:rsidR="00C332D9" w:rsidRPr="003F4DB3" w:rsidTr="000C4DCC">
        <w:trPr>
          <w:trHeight w:val="227"/>
          <w:jc w:val="center"/>
        </w:trPr>
        <w:tc>
          <w:tcPr>
            <w:tcW w:w="2510" w:type="dxa"/>
            <w:tcBorders>
              <w:left w:val="single" w:sz="4" w:space="0" w:color="auto"/>
            </w:tcBorders>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2019/2ο 6μηνο*</w:t>
            </w:r>
          </w:p>
        </w:tc>
        <w:tc>
          <w:tcPr>
            <w:tcW w:w="1985" w:type="dxa"/>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12,2</w:t>
            </w:r>
          </w:p>
        </w:tc>
        <w:tc>
          <w:tcPr>
            <w:tcW w:w="2126" w:type="dxa"/>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-3,0</w:t>
            </w:r>
          </w:p>
        </w:tc>
        <w:tc>
          <w:tcPr>
            <w:tcW w:w="1800" w:type="dxa"/>
            <w:tcBorders>
              <w:right w:val="single" w:sz="4" w:space="0" w:color="auto"/>
            </w:tcBorders>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15,2</w:t>
            </w:r>
          </w:p>
        </w:tc>
      </w:tr>
      <w:tr w:rsidR="00C332D9" w:rsidRPr="003F4DB3" w:rsidTr="000C4DCC">
        <w:trPr>
          <w:trHeight w:val="227"/>
          <w:jc w:val="center"/>
        </w:trPr>
        <w:tc>
          <w:tcPr>
            <w:tcW w:w="2510" w:type="dxa"/>
            <w:tcBorders>
              <w:left w:val="single" w:sz="4" w:space="0" w:color="auto"/>
            </w:tcBorders>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2019/1ο 6μηνο</w:t>
            </w:r>
          </w:p>
        </w:tc>
        <w:tc>
          <w:tcPr>
            <w:tcW w:w="1985" w:type="dxa"/>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10,2</w:t>
            </w:r>
          </w:p>
        </w:tc>
        <w:tc>
          <w:tcPr>
            <w:tcW w:w="2126" w:type="dxa"/>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-3,6</w:t>
            </w:r>
          </w:p>
        </w:tc>
        <w:tc>
          <w:tcPr>
            <w:tcW w:w="1800" w:type="dxa"/>
            <w:tcBorders>
              <w:right w:val="single" w:sz="4" w:space="0" w:color="auto"/>
            </w:tcBorders>
            <w:shd w:val="clear" w:color="auto" w:fill="D9D9D9" w:themeFill="background1" w:themeFillShade="D9"/>
            <w:noWrap/>
            <w:vAlign w:val="bottom"/>
            <w:hideMark/>
          </w:tcPr>
          <w:p w:rsidR="00C332D9" w:rsidRPr="003F4DB3" w:rsidRDefault="00C332D9" w:rsidP="00C332D9">
            <w:pPr>
              <w:jc w:val="center"/>
              <w:rPr>
                <w:rFonts w:ascii="Arial Narrow" w:hAnsi="Arial Narrow" w:cs="Calibri"/>
                <w:i/>
                <w:color w:val="000000"/>
                <w:sz w:val="16"/>
                <w:szCs w:val="16"/>
              </w:rPr>
            </w:pPr>
            <w:r w:rsidRPr="003F4DB3">
              <w:rPr>
                <w:rFonts w:ascii="Arial Narrow" w:hAnsi="Arial Narrow" w:cs="Calibri"/>
                <w:i/>
                <w:color w:val="000000"/>
                <w:sz w:val="16"/>
                <w:szCs w:val="16"/>
              </w:rPr>
              <w:t>13,8</w:t>
            </w:r>
          </w:p>
        </w:tc>
      </w:tr>
      <w:tr w:rsidR="00C332D9" w:rsidRPr="003F4DB3" w:rsidTr="000C4DCC">
        <w:trPr>
          <w:trHeight w:val="227"/>
          <w:jc w:val="center"/>
        </w:trPr>
        <w:tc>
          <w:tcPr>
            <w:tcW w:w="2510" w:type="dxa"/>
            <w:tcBorders>
              <w:lef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2019*</w:t>
            </w:r>
          </w:p>
        </w:tc>
        <w:tc>
          <w:tcPr>
            <w:tcW w:w="1985"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22,4</w:t>
            </w:r>
          </w:p>
        </w:tc>
        <w:tc>
          <w:tcPr>
            <w:tcW w:w="2126"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-6,6</w:t>
            </w:r>
          </w:p>
        </w:tc>
        <w:tc>
          <w:tcPr>
            <w:tcW w:w="1800" w:type="dxa"/>
            <w:tcBorders>
              <w:righ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29,0</w:t>
            </w:r>
          </w:p>
        </w:tc>
      </w:tr>
      <w:tr w:rsidR="00C332D9" w:rsidRPr="003F4DB3" w:rsidTr="000C4DCC">
        <w:trPr>
          <w:trHeight w:val="227"/>
          <w:jc w:val="center"/>
        </w:trPr>
        <w:tc>
          <w:tcPr>
            <w:tcW w:w="2510" w:type="dxa"/>
            <w:tcBorders>
              <w:lef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2018</w:t>
            </w:r>
          </w:p>
        </w:tc>
        <w:tc>
          <w:tcPr>
            <w:tcW w:w="1985"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20,6</w:t>
            </w:r>
          </w:p>
        </w:tc>
        <w:tc>
          <w:tcPr>
            <w:tcW w:w="2126"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-8,6</w:t>
            </w:r>
          </w:p>
        </w:tc>
        <w:tc>
          <w:tcPr>
            <w:tcW w:w="1800" w:type="dxa"/>
            <w:tcBorders>
              <w:righ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29,2</w:t>
            </w:r>
          </w:p>
        </w:tc>
      </w:tr>
      <w:tr w:rsidR="00C332D9" w:rsidRPr="003F4DB3" w:rsidTr="000C4DCC">
        <w:trPr>
          <w:trHeight w:val="227"/>
          <w:jc w:val="center"/>
        </w:trPr>
        <w:tc>
          <w:tcPr>
            <w:tcW w:w="2510" w:type="dxa"/>
            <w:tcBorders>
              <w:lef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2017</w:t>
            </w:r>
          </w:p>
        </w:tc>
        <w:tc>
          <w:tcPr>
            <w:tcW w:w="1985"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23,2</w:t>
            </w:r>
          </w:p>
        </w:tc>
        <w:tc>
          <w:tcPr>
            <w:tcW w:w="2126"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-6,2</w:t>
            </w:r>
          </w:p>
        </w:tc>
        <w:tc>
          <w:tcPr>
            <w:tcW w:w="1800" w:type="dxa"/>
            <w:tcBorders>
              <w:righ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29,5</w:t>
            </w:r>
          </w:p>
        </w:tc>
      </w:tr>
      <w:tr w:rsidR="00C332D9" w:rsidRPr="003F4DB3" w:rsidTr="000C4DCC">
        <w:trPr>
          <w:trHeight w:val="227"/>
          <w:jc w:val="center"/>
        </w:trPr>
        <w:tc>
          <w:tcPr>
            <w:tcW w:w="2510" w:type="dxa"/>
            <w:tcBorders>
              <w:lef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2016</w:t>
            </w:r>
          </w:p>
        </w:tc>
        <w:tc>
          <w:tcPr>
            <w:tcW w:w="1985"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21,3</w:t>
            </w:r>
          </w:p>
        </w:tc>
        <w:tc>
          <w:tcPr>
            <w:tcW w:w="2126" w:type="dxa"/>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-8,7</w:t>
            </w:r>
          </w:p>
        </w:tc>
        <w:tc>
          <w:tcPr>
            <w:tcW w:w="1800" w:type="dxa"/>
            <w:tcBorders>
              <w:right w:val="single" w:sz="4" w:space="0" w:color="auto"/>
            </w:tcBorders>
            <w:shd w:val="clear" w:color="auto" w:fill="auto"/>
            <w:noWrap/>
            <w:vAlign w:val="bottom"/>
            <w:hideMark/>
          </w:tcPr>
          <w:p w:rsidR="00C332D9" w:rsidRPr="003F4DB3" w:rsidRDefault="00C332D9" w:rsidP="00C332D9">
            <w:pPr>
              <w:jc w:val="center"/>
              <w:rPr>
                <w:rFonts w:ascii="Arial Narrow" w:hAnsi="Arial Narrow" w:cs="Calibri"/>
                <w:color w:val="000000"/>
                <w:sz w:val="16"/>
                <w:szCs w:val="16"/>
              </w:rPr>
            </w:pPr>
            <w:r w:rsidRPr="003F4DB3">
              <w:rPr>
                <w:rFonts w:ascii="Arial Narrow" w:hAnsi="Arial Narrow" w:cs="Calibri"/>
                <w:color w:val="000000"/>
                <w:sz w:val="16"/>
                <w:szCs w:val="16"/>
              </w:rPr>
              <w:t>30,0</w:t>
            </w:r>
          </w:p>
        </w:tc>
      </w:tr>
    </w:tbl>
    <w:p w:rsidR="00C332D9" w:rsidRDefault="00C332D9" w:rsidP="00C332D9">
      <w:pPr>
        <w:ind w:left="284" w:right="282"/>
        <w:jc w:val="both"/>
        <w:rPr>
          <w:rFonts w:ascii="Arial Narrow" w:hAnsi="Arial Narrow"/>
          <w:sz w:val="16"/>
          <w:szCs w:val="18"/>
        </w:rPr>
      </w:pPr>
      <w:r w:rsidRPr="00E545C6">
        <w:rPr>
          <w:rFonts w:ascii="Arial Narrow" w:hAnsi="Arial Narrow"/>
          <w:sz w:val="16"/>
          <w:szCs w:val="18"/>
        </w:rPr>
        <w:t xml:space="preserve">Πηγή: </w:t>
      </w:r>
      <w:r>
        <w:rPr>
          <w:rFonts w:ascii="Arial Narrow" w:hAnsi="Arial Narrow"/>
          <w:sz w:val="16"/>
          <w:szCs w:val="18"/>
        </w:rPr>
        <w:t>Τριμηνιαίοι</w:t>
      </w:r>
      <w:r w:rsidRPr="00E545C6">
        <w:rPr>
          <w:rFonts w:ascii="Arial Narrow" w:hAnsi="Arial Narrow"/>
          <w:sz w:val="16"/>
          <w:szCs w:val="18"/>
        </w:rPr>
        <w:t xml:space="preserve"> </w:t>
      </w:r>
      <w:r>
        <w:rPr>
          <w:rFonts w:ascii="Arial Narrow" w:hAnsi="Arial Narrow"/>
          <w:sz w:val="16"/>
          <w:szCs w:val="18"/>
        </w:rPr>
        <w:t>Μη Χρηματοοικονομικοί</w:t>
      </w:r>
      <w:r w:rsidRPr="00E545C6">
        <w:rPr>
          <w:rFonts w:ascii="Arial Narrow" w:hAnsi="Arial Narrow"/>
          <w:sz w:val="16"/>
          <w:szCs w:val="18"/>
        </w:rPr>
        <w:t xml:space="preserve"> Λογαριασμοί</w:t>
      </w:r>
      <w:r>
        <w:rPr>
          <w:rFonts w:ascii="Arial Narrow" w:hAnsi="Arial Narrow"/>
          <w:sz w:val="16"/>
          <w:szCs w:val="18"/>
        </w:rPr>
        <w:t xml:space="preserve"> Θεσμικών Τομέων, 2</w:t>
      </w:r>
      <w:r w:rsidRPr="00481060">
        <w:rPr>
          <w:rFonts w:ascii="Arial Narrow" w:hAnsi="Arial Narrow"/>
          <w:sz w:val="16"/>
          <w:szCs w:val="18"/>
          <w:vertAlign w:val="superscript"/>
        </w:rPr>
        <w:t>ο</w:t>
      </w:r>
      <w:r>
        <w:rPr>
          <w:rFonts w:ascii="Arial Narrow" w:hAnsi="Arial Narrow"/>
          <w:sz w:val="16"/>
          <w:szCs w:val="18"/>
        </w:rPr>
        <w:t xml:space="preserve"> τρίμηνο 2019 </w:t>
      </w:r>
      <w:r w:rsidRPr="00E545C6">
        <w:rPr>
          <w:rFonts w:ascii="Arial Narrow" w:hAnsi="Arial Narrow"/>
          <w:sz w:val="16"/>
          <w:szCs w:val="18"/>
        </w:rPr>
        <w:t xml:space="preserve"> (Ελληνική Στατιστική Αρχή), εκτιμήσεις/προβλέψεις </w:t>
      </w:r>
    </w:p>
    <w:p w:rsidR="00C332D9" w:rsidRDefault="00C332D9" w:rsidP="00C332D9">
      <w:pPr>
        <w:ind w:left="284" w:right="282"/>
        <w:jc w:val="both"/>
        <w:rPr>
          <w:rFonts w:ascii="Arial Narrow" w:hAnsi="Arial Narrow"/>
          <w:sz w:val="16"/>
          <w:szCs w:val="18"/>
        </w:rPr>
      </w:pPr>
      <w:r w:rsidRPr="00E545C6">
        <w:rPr>
          <w:rFonts w:ascii="Arial Narrow" w:hAnsi="Arial Narrow"/>
          <w:sz w:val="16"/>
          <w:szCs w:val="18"/>
        </w:rPr>
        <w:t>Υπουργείου</w:t>
      </w:r>
      <w:r>
        <w:rPr>
          <w:rFonts w:ascii="Arial Narrow" w:hAnsi="Arial Narrow"/>
          <w:sz w:val="16"/>
          <w:szCs w:val="18"/>
        </w:rPr>
        <w:t xml:space="preserve"> </w:t>
      </w:r>
      <w:r w:rsidRPr="00E545C6">
        <w:rPr>
          <w:rFonts w:ascii="Arial Narrow" w:hAnsi="Arial Narrow"/>
          <w:sz w:val="16"/>
          <w:szCs w:val="18"/>
        </w:rPr>
        <w:t>Οικονομικών</w:t>
      </w:r>
    </w:p>
    <w:p w:rsidR="00C332D9" w:rsidRPr="00B943E4" w:rsidRDefault="00C332D9" w:rsidP="00C332D9">
      <w:pPr>
        <w:ind w:right="282"/>
        <w:jc w:val="both"/>
        <w:rPr>
          <w:rFonts w:ascii="Arial Narrow" w:hAnsi="Arial Narrow" w:cs="Calibri"/>
          <w:color w:val="000000"/>
          <w:sz w:val="16"/>
          <w:szCs w:val="16"/>
        </w:rPr>
      </w:pPr>
      <w:r>
        <w:rPr>
          <w:rFonts w:ascii="Arial Narrow" w:hAnsi="Arial Narrow"/>
          <w:sz w:val="16"/>
          <w:szCs w:val="18"/>
        </w:rPr>
        <w:t xml:space="preserve">        </w:t>
      </w:r>
      <w:r w:rsidRPr="00E545C6">
        <w:rPr>
          <w:rFonts w:ascii="Arial Narrow" w:hAnsi="Arial Narrow"/>
          <w:sz w:val="16"/>
          <w:szCs w:val="18"/>
        </w:rPr>
        <w:t>* Εκτιμήσεις/προβλέψεις</w:t>
      </w:r>
    </w:p>
    <w:p w:rsidR="00C332D9" w:rsidRPr="000416F9" w:rsidRDefault="00C332D9" w:rsidP="00DE399A">
      <w:pPr>
        <w:jc w:val="both"/>
        <w:rPr>
          <w:sz w:val="22"/>
        </w:rPr>
      </w:pPr>
    </w:p>
    <w:p w:rsidR="00DE399A" w:rsidRDefault="00DE399A" w:rsidP="00C332D9">
      <w:pPr>
        <w:autoSpaceDE w:val="0"/>
        <w:autoSpaceDN w:val="0"/>
        <w:adjustRightInd w:val="0"/>
        <w:jc w:val="both"/>
        <w:rPr>
          <w:rFonts w:cstheme="minorHAnsi"/>
          <w:sz w:val="22"/>
        </w:rPr>
      </w:pPr>
      <w:r w:rsidRPr="00D6175A">
        <w:rPr>
          <w:rFonts w:cstheme="minorHAnsi"/>
          <w:sz w:val="22"/>
        </w:rPr>
        <w:t>Η αναστροφή της πορείας των ετήσιων καθαρών επενδύσεων σε θετική κρίνεται απαραίτητη λόγω και της επίδρασης της μείωσης του αποθέματος φυσικού κεφαλαίου στο δυνητικό προϊόν και</w:t>
      </w:r>
      <w:r w:rsidRPr="00D6175A">
        <w:rPr>
          <w:sz w:val="22"/>
        </w:rPr>
        <w:t xml:space="preserve"> στις παρ</w:t>
      </w:r>
      <w:r w:rsidRPr="00D6175A">
        <w:rPr>
          <w:sz w:val="22"/>
        </w:rPr>
        <w:t>α</w:t>
      </w:r>
      <w:r w:rsidRPr="00D6175A">
        <w:rPr>
          <w:sz w:val="22"/>
        </w:rPr>
        <w:t>γωγικές δυνατότητες της χώρας</w:t>
      </w:r>
      <w:r w:rsidRPr="00D6175A">
        <w:rPr>
          <w:rFonts w:cstheme="minorHAnsi"/>
          <w:sz w:val="22"/>
        </w:rPr>
        <w:t>. Πιο συγκεκριμένα, την ως άνω περίοδο η αποεπένδυση συνέβαλε στην επιδείνωση της παραγωγικότητας τόσο του κεφαλαίου και της εργασίας, όσο και της ολικής π</w:t>
      </w:r>
      <w:r w:rsidRPr="00D6175A">
        <w:rPr>
          <w:rFonts w:cstheme="minorHAnsi"/>
          <w:sz w:val="22"/>
        </w:rPr>
        <w:t>α</w:t>
      </w:r>
      <w:r w:rsidRPr="00D6175A">
        <w:rPr>
          <w:rFonts w:cstheme="minorHAnsi"/>
          <w:sz w:val="22"/>
        </w:rPr>
        <w:t>ραγωγικότητας (</w:t>
      </w:r>
      <w:r w:rsidRPr="00D6175A">
        <w:rPr>
          <w:rFonts w:cstheme="minorHAnsi"/>
          <w:sz w:val="22"/>
          <w:lang w:val="en-US"/>
        </w:rPr>
        <w:t>total</w:t>
      </w:r>
      <w:r w:rsidRPr="00D6175A">
        <w:rPr>
          <w:rFonts w:cstheme="minorHAnsi"/>
          <w:sz w:val="22"/>
        </w:rPr>
        <w:t xml:space="preserve"> </w:t>
      </w:r>
      <w:r w:rsidRPr="00D6175A">
        <w:rPr>
          <w:rFonts w:cstheme="minorHAnsi"/>
          <w:sz w:val="22"/>
          <w:lang w:val="en-US"/>
        </w:rPr>
        <w:t>factor</w:t>
      </w:r>
      <w:r w:rsidRPr="00D6175A">
        <w:rPr>
          <w:rFonts w:cstheme="minorHAnsi"/>
          <w:sz w:val="22"/>
        </w:rPr>
        <w:t xml:space="preserve"> </w:t>
      </w:r>
      <w:r w:rsidRPr="00D6175A">
        <w:rPr>
          <w:rFonts w:cstheme="minorHAnsi"/>
          <w:sz w:val="22"/>
          <w:lang w:val="en-US"/>
        </w:rPr>
        <w:t>productivity</w:t>
      </w:r>
      <w:r w:rsidRPr="00D6175A">
        <w:rPr>
          <w:rFonts w:cstheme="minorHAnsi"/>
          <w:sz w:val="22"/>
        </w:rPr>
        <w:t xml:space="preserve"> - </w:t>
      </w:r>
      <w:r w:rsidRPr="00D6175A">
        <w:rPr>
          <w:rFonts w:cstheme="minorHAnsi"/>
          <w:sz w:val="22"/>
          <w:lang w:val="en-US"/>
        </w:rPr>
        <w:t>TFP</w:t>
      </w:r>
      <w:r w:rsidRPr="00D6175A">
        <w:rPr>
          <w:rFonts w:cstheme="minorHAnsi"/>
          <w:sz w:val="22"/>
        </w:rPr>
        <w:t xml:space="preserve">). Η μείωση της τελευταίας αποτελεί το μεγαλύτερο πρόβλημα για το ρυθμό αύξησης του δυνητικού προϊόντος, γεγονός που αντανακλάται στη σημαντική </w:t>
      </w:r>
      <w:r w:rsidRPr="00D6175A">
        <w:rPr>
          <w:rFonts w:cstheme="minorHAnsi"/>
          <w:sz w:val="22"/>
        </w:rPr>
        <w:lastRenderedPageBreak/>
        <w:t>μείωση του δυνητικού ΑΕΠ σε όρους όγκου (ιδίως κατά τα έτη</w:t>
      </w:r>
      <w:r w:rsidR="00112EBE">
        <w:rPr>
          <w:rFonts w:cstheme="minorHAnsi"/>
          <w:sz w:val="22"/>
        </w:rPr>
        <w:t xml:space="preserve"> 2011-2016), όπως φαίνεται στο δ</w:t>
      </w:r>
      <w:r w:rsidRPr="00D6175A">
        <w:rPr>
          <w:rFonts w:cstheme="minorHAnsi"/>
          <w:sz w:val="22"/>
        </w:rPr>
        <w:t>ι</w:t>
      </w:r>
      <w:r w:rsidRPr="00D6175A">
        <w:rPr>
          <w:rFonts w:cstheme="minorHAnsi"/>
          <w:sz w:val="22"/>
        </w:rPr>
        <w:t>ά</w:t>
      </w:r>
      <w:r w:rsidRPr="00D6175A">
        <w:rPr>
          <w:rFonts w:cstheme="minorHAnsi"/>
          <w:sz w:val="22"/>
        </w:rPr>
        <w:t xml:space="preserve">γραμμα 1.2. </w:t>
      </w:r>
    </w:p>
    <w:p w:rsidR="00953AB5" w:rsidRPr="00D6175A" w:rsidRDefault="00953AB5" w:rsidP="00C332D9">
      <w:pPr>
        <w:autoSpaceDE w:val="0"/>
        <w:autoSpaceDN w:val="0"/>
        <w:adjustRightInd w:val="0"/>
        <w:jc w:val="both"/>
        <w:rPr>
          <w:rFonts w:cstheme="minorHAnsi"/>
          <w:sz w:val="22"/>
        </w:rPr>
      </w:pPr>
    </w:p>
    <w:p w:rsidR="00B970E9" w:rsidRDefault="00DE399A" w:rsidP="00953AB5">
      <w:pPr>
        <w:jc w:val="both"/>
        <w:rPr>
          <w:rFonts w:cstheme="minorHAnsi"/>
          <w:sz w:val="22"/>
        </w:rPr>
      </w:pPr>
      <w:r w:rsidRPr="00D6175A">
        <w:rPr>
          <w:rFonts w:cstheme="minorHAnsi"/>
          <w:sz w:val="22"/>
        </w:rPr>
        <w:t>Η μείωση του δυνητικού προϊόντος, σε συνδυασμό με τη συρρίκνωση του πραγματικού ΑΕΠ την ίδια περίοδο (με εξαίρεση το 2014), οδήγησε στην αύξηση της απόκλισης των δύο μεγεθών και στη δι</w:t>
      </w:r>
      <w:r w:rsidRPr="00D6175A">
        <w:rPr>
          <w:rFonts w:cstheme="minorHAnsi"/>
          <w:sz w:val="22"/>
        </w:rPr>
        <w:t>ό</w:t>
      </w:r>
      <w:r w:rsidRPr="00D6175A">
        <w:rPr>
          <w:rFonts w:cstheme="minorHAnsi"/>
          <w:sz w:val="22"/>
        </w:rPr>
        <w:t>γκωση του αρνητικού παραγωγικού κενού σε διψήφια νούμερα. Έκτοτε το παραγωγικό κενό παρέμε</w:t>
      </w:r>
      <w:r w:rsidRPr="00D6175A">
        <w:rPr>
          <w:rFonts w:cstheme="minorHAnsi"/>
          <w:sz w:val="22"/>
        </w:rPr>
        <w:t>ι</w:t>
      </w:r>
      <w:r w:rsidRPr="00D6175A">
        <w:rPr>
          <w:rFonts w:cstheme="minorHAnsi"/>
          <w:sz w:val="22"/>
        </w:rPr>
        <w:t>νε σε υψηλά αρνητικά επίπεδα σε σχέση με την προ κρίσης περίοδο, αν και αποκλιμακούμενο. Για τα έτη 2019-2020, προβλέπεται ότι θα ανακοπεί η έντονα καθοδική πορεία του δυνητικού ΑΕΠ, κυρίως λόγω της θετικής συνεισφοράς της ολικής παραγωγικότητας των συντελεστών παραγωγής. Η πρ</w:t>
      </w:r>
      <w:r w:rsidRPr="00D6175A">
        <w:rPr>
          <w:rFonts w:cstheme="minorHAnsi"/>
          <w:sz w:val="22"/>
        </w:rPr>
        <w:t>ό</w:t>
      </w:r>
      <w:r w:rsidRPr="00D6175A">
        <w:rPr>
          <w:rFonts w:cstheme="minorHAnsi"/>
          <w:sz w:val="22"/>
        </w:rPr>
        <w:t>βλεψη αυτή, από κοινού με την εκτιμώμενη επιτάχυνση του ρυθμού αύξησης του πραγματικού ΑΕΠ, αναμένεται να περιορίσει σημαντικά το παραγωγικό κενό, προοιωνίζοντας θετικές δυνατότητες αν</w:t>
      </w:r>
      <w:r w:rsidRPr="00D6175A">
        <w:rPr>
          <w:rFonts w:cstheme="minorHAnsi"/>
          <w:sz w:val="22"/>
        </w:rPr>
        <w:t>ά</w:t>
      </w:r>
      <w:r w:rsidRPr="00D6175A">
        <w:rPr>
          <w:rFonts w:cstheme="minorHAnsi"/>
          <w:sz w:val="22"/>
        </w:rPr>
        <w:t>πτυξης της ελληνικής οικονομίας στο μέλλον. Μεσομακροπρόθεσμα, η πλήρης αξιοποίηση των δι</w:t>
      </w:r>
      <w:r w:rsidRPr="00D6175A">
        <w:rPr>
          <w:rFonts w:cstheme="minorHAnsi"/>
          <w:sz w:val="22"/>
        </w:rPr>
        <w:t>α</w:t>
      </w:r>
      <w:r w:rsidRPr="00D6175A">
        <w:rPr>
          <w:rFonts w:cstheme="minorHAnsi"/>
          <w:sz w:val="22"/>
        </w:rPr>
        <w:t xml:space="preserve">θέσιμων συντελεστών παραγωγής και η αναπλήρωση του χαμένου, κατά την περίοδο της κρίσης, </w:t>
      </w:r>
      <w:r w:rsidRPr="00D6175A">
        <w:rPr>
          <w:rFonts w:cstheme="minorHAnsi"/>
          <w:sz w:val="22"/>
        </w:rPr>
        <w:t>α</w:t>
      </w:r>
      <w:r w:rsidRPr="00D6175A">
        <w:rPr>
          <w:rFonts w:cstheme="minorHAnsi"/>
          <w:sz w:val="22"/>
        </w:rPr>
        <w:t xml:space="preserve">ποθέματος κεφαλαίου της χώρας (που θα αυξήσει την παραγωγικότητά του) αποτελούν τα κλειδιά για τη μετάβαση της ελληνικής οικονομίας σε υψηλότερη καμπύλη παραγωγικών δυνατοτήτων.    </w:t>
      </w:r>
    </w:p>
    <w:p w:rsidR="00331DF7" w:rsidRPr="00D6175A" w:rsidRDefault="00DE399A" w:rsidP="00DE399A">
      <w:pPr>
        <w:spacing w:before="100" w:beforeAutospacing="1" w:after="60"/>
        <w:jc w:val="both"/>
        <w:rPr>
          <w:rFonts w:cstheme="minorHAnsi"/>
          <w:sz w:val="22"/>
        </w:rPr>
      </w:pPr>
      <w:r w:rsidRPr="00D6175A">
        <w:rPr>
          <w:rFonts w:cstheme="minorHAnsi"/>
          <w:sz w:val="22"/>
        </w:rPr>
        <w:t xml:space="preserve">  </w:t>
      </w:r>
    </w:p>
    <w:tbl>
      <w:tblPr>
        <w:tblStyle w:val="ae"/>
        <w:tblW w:w="0" w:type="auto"/>
        <w:tblLook w:val="04A0"/>
      </w:tblPr>
      <w:tblGrid>
        <w:gridCol w:w="9287"/>
      </w:tblGrid>
      <w:tr w:rsidR="00331DF7" w:rsidTr="00331DF7">
        <w:tc>
          <w:tcPr>
            <w:tcW w:w="9287" w:type="dxa"/>
            <w:tcBorders>
              <w:top w:val="nil"/>
              <w:left w:val="nil"/>
              <w:bottom w:val="nil"/>
              <w:right w:val="nil"/>
            </w:tcBorders>
          </w:tcPr>
          <w:p w:rsidR="00331DF7" w:rsidRDefault="00331DF7" w:rsidP="00331DF7">
            <w:pPr>
              <w:spacing w:before="60"/>
              <w:jc w:val="center"/>
              <w:rPr>
                <w:rFonts w:cstheme="minorHAnsi"/>
                <w:sz w:val="22"/>
              </w:rPr>
            </w:pPr>
            <w:r w:rsidRPr="00B54789">
              <w:rPr>
                <w:rFonts w:ascii="Arial Narrow" w:hAnsi="Arial Narrow"/>
                <w:b/>
                <w:sz w:val="22"/>
              </w:rPr>
              <w:t>Διάγραμμα 1.2 Εξέλιξη πραγματικού και δυνητικού ΑΕΠ την περίοδο 2010-2020</w:t>
            </w:r>
          </w:p>
        </w:tc>
      </w:tr>
      <w:tr w:rsidR="00331DF7" w:rsidTr="00331DF7">
        <w:tc>
          <w:tcPr>
            <w:tcW w:w="9287" w:type="dxa"/>
            <w:tcBorders>
              <w:top w:val="nil"/>
              <w:left w:val="nil"/>
              <w:bottom w:val="nil"/>
              <w:right w:val="nil"/>
            </w:tcBorders>
            <w:vAlign w:val="center"/>
          </w:tcPr>
          <w:p w:rsidR="00331DF7" w:rsidRPr="004A7DE0" w:rsidRDefault="00331DF7" w:rsidP="00331DF7">
            <w:pPr>
              <w:spacing w:before="100" w:beforeAutospacing="1" w:after="60"/>
              <w:jc w:val="center"/>
              <w:rPr>
                <w:rFonts w:cstheme="minorHAnsi"/>
                <w:sz w:val="22"/>
              </w:rPr>
            </w:pPr>
          </w:p>
          <w:p w:rsidR="00331DF7" w:rsidRDefault="00331DF7" w:rsidP="00331DF7">
            <w:pPr>
              <w:spacing w:before="100" w:beforeAutospacing="1" w:after="60"/>
              <w:jc w:val="center"/>
              <w:rPr>
                <w:rFonts w:cstheme="minorHAnsi"/>
                <w:sz w:val="22"/>
                <w:lang w:val="en-US"/>
              </w:rPr>
            </w:pPr>
            <w:r w:rsidRPr="00331DF7">
              <w:rPr>
                <w:rFonts w:cstheme="minorHAnsi"/>
                <w:noProof/>
                <w:sz w:val="22"/>
              </w:rPr>
              <w:drawing>
                <wp:inline distT="0" distB="0" distL="0" distR="0">
                  <wp:extent cx="5486400" cy="2974340"/>
                  <wp:effectExtent l="0" t="0" r="0" b="0"/>
                  <wp:docPr id="10"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1DF7" w:rsidRPr="00331DF7" w:rsidRDefault="00331DF7" w:rsidP="00331DF7">
            <w:pPr>
              <w:ind w:firstLine="284"/>
              <w:rPr>
                <w:rFonts w:cstheme="minorHAnsi"/>
                <w:sz w:val="22"/>
              </w:rPr>
            </w:pPr>
            <w:r w:rsidRPr="00331DF7">
              <w:rPr>
                <w:rFonts w:ascii="Arial Narrow" w:hAnsi="Arial Narrow"/>
                <w:sz w:val="16"/>
                <w:szCs w:val="18"/>
              </w:rPr>
              <w:t xml:space="preserve">     </w:t>
            </w:r>
            <w:r w:rsidRPr="00B54789">
              <w:rPr>
                <w:rFonts w:ascii="Arial Narrow" w:hAnsi="Arial Narrow"/>
                <w:sz w:val="16"/>
                <w:szCs w:val="18"/>
              </w:rPr>
              <w:t>Πηγή: Ετήσιοι Εθνικοί Λογαριασμοί 2018 (Ελληνική Στατιστική Αρχή), βάση δεδομένων ΑΜ</w:t>
            </w:r>
            <w:r w:rsidRPr="00B54789">
              <w:rPr>
                <w:rFonts w:ascii="Arial Narrow" w:hAnsi="Arial Narrow"/>
                <w:sz w:val="16"/>
                <w:szCs w:val="18"/>
                <w:lang w:val="en-US"/>
              </w:rPr>
              <w:t>ECO</w:t>
            </w:r>
          </w:p>
        </w:tc>
      </w:tr>
    </w:tbl>
    <w:p w:rsidR="00DE399A" w:rsidRPr="00D6175A" w:rsidRDefault="00DE399A" w:rsidP="00DE399A">
      <w:pPr>
        <w:spacing w:before="100" w:beforeAutospacing="1" w:after="60"/>
        <w:jc w:val="both"/>
        <w:rPr>
          <w:rFonts w:cstheme="minorHAnsi"/>
          <w:sz w:val="22"/>
        </w:rPr>
      </w:pPr>
    </w:p>
    <w:p w:rsidR="00DE399A" w:rsidRDefault="00DE399A" w:rsidP="004D6077">
      <w:pPr>
        <w:autoSpaceDE w:val="0"/>
        <w:autoSpaceDN w:val="0"/>
        <w:adjustRightInd w:val="0"/>
        <w:jc w:val="both"/>
        <w:rPr>
          <w:sz w:val="22"/>
          <w:szCs w:val="22"/>
        </w:rPr>
      </w:pPr>
      <w:r w:rsidRPr="00674836">
        <w:rPr>
          <w:sz w:val="22"/>
          <w:szCs w:val="22"/>
        </w:rPr>
        <w:t>Επιστρέφοντας στη σημερινή εικόνα των επενδύσεων, έως το 2018 η συνεχής αναβολή της πολυαν</w:t>
      </w:r>
      <w:r w:rsidRPr="00674836">
        <w:rPr>
          <w:sz w:val="22"/>
          <w:szCs w:val="22"/>
        </w:rPr>
        <w:t>α</w:t>
      </w:r>
      <w:r w:rsidRPr="00674836">
        <w:rPr>
          <w:sz w:val="22"/>
          <w:szCs w:val="22"/>
        </w:rPr>
        <w:t>μενόμενης ανάκαμψής τους συνδέθηκε και με την αρνητική πιστωτική επέκταση των ελληνικών τρ</w:t>
      </w:r>
      <w:r w:rsidRPr="00674836">
        <w:rPr>
          <w:sz w:val="22"/>
          <w:szCs w:val="22"/>
        </w:rPr>
        <w:t>α</w:t>
      </w:r>
      <w:r w:rsidRPr="00674836">
        <w:rPr>
          <w:sz w:val="22"/>
          <w:szCs w:val="22"/>
        </w:rPr>
        <w:t>πεζών προς τις επιχειρήσεις την περίοδο 2011-2015 (και την μηδενική, αντίστοιχα, την περίοδο 2016-2018). Ωστόσο, και στην περίπτωση των ξένων άμεσων επενδύσεων, οι οποίες δεν υπόκεινται στους εγχώριους περιορισμούς χρηματοδότησης, η χώρα υστερεί διαχρονικά ως προς την προσέλκυσή τους. Παρά τη μικρή βελτίωση των καθαρών εισροών ξένων άμεσων επενδύσεων ως ποσοστό του ΑΕΠ από το 2013</w:t>
      </w:r>
      <w:r w:rsidRPr="00674836">
        <w:rPr>
          <w:rStyle w:val="a9"/>
          <w:sz w:val="22"/>
          <w:szCs w:val="22"/>
        </w:rPr>
        <w:footnoteReference w:id="7"/>
      </w:r>
      <w:r w:rsidRPr="00674836">
        <w:rPr>
          <w:sz w:val="22"/>
          <w:szCs w:val="22"/>
        </w:rPr>
        <w:t>, το 2018 η επίδοση της Ελλάδας (1,8% του ΑΕΠ) κατείχε την 11</w:t>
      </w:r>
      <w:r w:rsidRPr="00674836">
        <w:rPr>
          <w:sz w:val="22"/>
          <w:szCs w:val="22"/>
          <w:vertAlign w:val="superscript"/>
        </w:rPr>
        <w:t>η</w:t>
      </w:r>
      <w:r w:rsidRPr="00674836">
        <w:rPr>
          <w:sz w:val="22"/>
          <w:szCs w:val="22"/>
        </w:rPr>
        <w:t xml:space="preserve"> χαμηλότερη θέση μεταξύ των 28 κρατών-μελών της Ευρωπαϊκής Ένωσης. </w:t>
      </w:r>
    </w:p>
    <w:p w:rsidR="004D6077" w:rsidRPr="00674836" w:rsidRDefault="004D6077" w:rsidP="004D6077">
      <w:pPr>
        <w:autoSpaceDE w:val="0"/>
        <w:autoSpaceDN w:val="0"/>
        <w:adjustRightInd w:val="0"/>
        <w:jc w:val="both"/>
        <w:rPr>
          <w:sz w:val="22"/>
          <w:szCs w:val="22"/>
        </w:rPr>
      </w:pPr>
    </w:p>
    <w:p w:rsidR="00DE399A" w:rsidRPr="00674836" w:rsidRDefault="00DE399A" w:rsidP="00DE399A">
      <w:pPr>
        <w:jc w:val="both"/>
        <w:rPr>
          <w:sz w:val="22"/>
          <w:szCs w:val="22"/>
        </w:rPr>
      </w:pPr>
      <w:r w:rsidRPr="00674836">
        <w:rPr>
          <w:sz w:val="22"/>
          <w:szCs w:val="22"/>
        </w:rPr>
        <w:lastRenderedPageBreak/>
        <w:t>Την ίδια στιγμή, οι διεθνείς δείκτες αξιολόγησης του επιχειρηματικού περιβάλλοντος κατατάσσουν έως σήμερα πολύ χαμηλά την Ελλάδα. Ενδεικτικά, για τ</w:t>
      </w:r>
      <w:r w:rsidRPr="00674836">
        <w:rPr>
          <w:sz w:val="22"/>
          <w:szCs w:val="22"/>
          <w:lang w:val="en-US"/>
        </w:rPr>
        <w:t>o</w:t>
      </w:r>
      <w:r w:rsidRPr="00674836">
        <w:rPr>
          <w:sz w:val="22"/>
          <w:szCs w:val="22"/>
        </w:rPr>
        <w:t xml:space="preserve"> 2019 </w:t>
      </w:r>
      <w:r w:rsidR="00953AB5">
        <w:rPr>
          <w:sz w:val="22"/>
          <w:szCs w:val="22"/>
        </w:rPr>
        <w:t>(με στοιχεία που αφορούσαν την περ</w:t>
      </w:r>
      <w:r w:rsidR="00953AB5">
        <w:rPr>
          <w:sz w:val="22"/>
          <w:szCs w:val="22"/>
        </w:rPr>
        <w:t>ί</w:t>
      </w:r>
      <w:r w:rsidR="00953AB5">
        <w:rPr>
          <w:sz w:val="22"/>
          <w:szCs w:val="22"/>
        </w:rPr>
        <w:t xml:space="preserve">οδο 2017-2018) </w:t>
      </w:r>
      <w:r w:rsidRPr="00674836">
        <w:rPr>
          <w:sz w:val="22"/>
          <w:szCs w:val="22"/>
        </w:rPr>
        <w:t>ο δείκτης για την «ευκολία του επιχειρείν» (‘</w:t>
      </w:r>
      <w:r w:rsidRPr="00674836">
        <w:rPr>
          <w:sz w:val="22"/>
          <w:szCs w:val="22"/>
          <w:lang w:val="en-US"/>
        </w:rPr>
        <w:t>Ease</w:t>
      </w:r>
      <w:r w:rsidRPr="00674836">
        <w:rPr>
          <w:sz w:val="22"/>
          <w:szCs w:val="22"/>
        </w:rPr>
        <w:t xml:space="preserve"> </w:t>
      </w:r>
      <w:r w:rsidRPr="00674836">
        <w:rPr>
          <w:sz w:val="22"/>
          <w:szCs w:val="22"/>
          <w:lang w:val="en-US"/>
        </w:rPr>
        <w:t>of</w:t>
      </w:r>
      <w:r w:rsidRPr="00674836">
        <w:rPr>
          <w:sz w:val="22"/>
          <w:szCs w:val="22"/>
        </w:rPr>
        <w:t xml:space="preserve"> Doing Business’) της Παγκ</w:t>
      </w:r>
      <w:r w:rsidRPr="00674836">
        <w:rPr>
          <w:sz w:val="22"/>
          <w:szCs w:val="22"/>
        </w:rPr>
        <w:t>ό</w:t>
      </w:r>
      <w:r w:rsidRPr="00674836">
        <w:rPr>
          <w:sz w:val="22"/>
          <w:szCs w:val="22"/>
        </w:rPr>
        <w:t>σμιας Τράπεζας κατέτασσε την Ελλάδα χαμηλότερα από ό,τι το 2018 (στην 72η θέση από την 67η θ</w:t>
      </w:r>
      <w:r w:rsidRPr="00674836">
        <w:rPr>
          <w:sz w:val="22"/>
          <w:szCs w:val="22"/>
        </w:rPr>
        <w:t>έ</w:t>
      </w:r>
      <w:r w:rsidRPr="00674836">
        <w:rPr>
          <w:sz w:val="22"/>
          <w:szCs w:val="22"/>
        </w:rPr>
        <w:t xml:space="preserve">ση μεταξύ 190 χωρών, αντίστοιχα), εν μέσω επιδείνωσης σε ό,τι αφορά τη διαδικασία καταγραφής </w:t>
      </w:r>
      <w:r w:rsidRPr="00674836">
        <w:rPr>
          <w:sz w:val="22"/>
          <w:szCs w:val="22"/>
        </w:rPr>
        <w:t>α</w:t>
      </w:r>
      <w:r w:rsidRPr="00674836">
        <w:rPr>
          <w:sz w:val="22"/>
          <w:szCs w:val="22"/>
        </w:rPr>
        <w:t>κίνητης περιουσίας, και βελτίωσης σε ό,τι αφορά την αδειοδότηση κατασκευών</w:t>
      </w:r>
      <w:r w:rsidRPr="00674836">
        <w:rPr>
          <w:rStyle w:val="a9"/>
          <w:sz w:val="22"/>
          <w:szCs w:val="22"/>
        </w:rPr>
        <w:footnoteReference w:id="8"/>
      </w:r>
      <w:r w:rsidRPr="00674836">
        <w:rPr>
          <w:sz w:val="22"/>
          <w:szCs w:val="22"/>
        </w:rPr>
        <w:t>. Για το 2020</w:t>
      </w:r>
      <w:r w:rsidR="00953AB5">
        <w:rPr>
          <w:sz w:val="22"/>
          <w:szCs w:val="22"/>
        </w:rPr>
        <w:t xml:space="preserve"> (με στοιχεία που αφορούσαν την περίοδο 2018-2019) </w:t>
      </w:r>
      <w:r w:rsidRPr="00674836">
        <w:rPr>
          <w:sz w:val="22"/>
          <w:szCs w:val="22"/>
        </w:rPr>
        <w:t>ο ίδιος δείκτης κατατάσσει την ελληνική οικονομία στην 79</w:t>
      </w:r>
      <w:r w:rsidRPr="00674836">
        <w:rPr>
          <w:sz w:val="22"/>
          <w:szCs w:val="22"/>
          <w:vertAlign w:val="superscript"/>
        </w:rPr>
        <w:t>η</w:t>
      </w:r>
      <w:r w:rsidRPr="00674836">
        <w:rPr>
          <w:sz w:val="22"/>
          <w:szCs w:val="22"/>
        </w:rPr>
        <w:t xml:space="preserve"> θέση</w:t>
      </w:r>
      <w:r w:rsidRPr="00674836">
        <w:rPr>
          <w:rStyle w:val="a9"/>
          <w:sz w:val="22"/>
          <w:szCs w:val="22"/>
        </w:rPr>
        <w:footnoteReference w:id="9"/>
      </w:r>
      <w:r w:rsidRPr="00674836">
        <w:rPr>
          <w:sz w:val="22"/>
          <w:szCs w:val="22"/>
        </w:rPr>
        <w:t>, με ταυτόχρονη όμως αύξηση της βαθμολογίας έναντι του 2019 σε σειρά κριτηρίων ανταγωνιστικότητας, όπως η έναρξη μιας επιχείρησης, η προστασία μικροεπενδυτών, η πληρωμή φ</w:t>
      </w:r>
      <w:r w:rsidRPr="00674836">
        <w:rPr>
          <w:sz w:val="22"/>
          <w:szCs w:val="22"/>
        </w:rPr>
        <w:t>ό</w:t>
      </w:r>
      <w:r w:rsidRPr="00674836">
        <w:rPr>
          <w:sz w:val="22"/>
          <w:szCs w:val="22"/>
        </w:rPr>
        <w:t>ρων και η πρόσβαση σε ηλεκτρική ενέργεια</w:t>
      </w:r>
      <w:r w:rsidRPr="00674836">
        <w:rPr>
          <w:rStyle w:val="a9"/>
          <w:sz w:val="22"/>
          <w:szCs w:val="22"/>
        </w:rPr>
        <w:footnoteReference w:id="10"/>
      </w:r>
      <w:r w:rsidRPr="00674836">
        <w:rPr>
          <w:sz w:val="22"/>
          <w:szCs w:val="22"/>
        </w:rPr>
        <w:t>.</w:t>
      </w:r>
    </w:p>
    <w:p w:rsidR="00DE399A" w:rsidRPr="00674836" w:rsidRDefault="00DE399A" w:rsidP="00DE399A">
      <w:pPr>
        <w:jc w:val="both"/>
        <w:rPr>
          <w:sz w:val="22"/>
          <w:szCs w:val="22"/>
        </w:rPr>
      </w:pPr>
    </w:p>
    <w:p w:rsidR="00DE399A" w:rsidRPr="00674836" w:rsidRDefault="00DE399A" w:rsidP="00DE399A">
      <w:pPr>
        <w:jc w:val="both"/>
        <w:rPr>
          <w:sz w:val="22"/>
          <w:szCs w:val="22"/>
        </w:rPr>
      </w:pPr>
      <w:r w:rsidRPr="00674836">
        <w:rPr>
          <w:sz w:val="22"/>
          <w:szCs w:val="22"/>
        </w:rPr>
        <w:t>Επιπλέον, ο δείκτης παγκόσμιας ανταγωνιστικότητας (Global Competitiveness Index 4.0) του Παγκ</w:t>
      </w:r>
      <w:r w:rsidRPr="00674836">
        <w:rPr>
          <w:sz w:val="22"/>
          <w:szCs w:val="22"/>
        </w:rPr>
        <w:t>ό</w:t>
      </w:r>
      <w:r w:rsidRPr="00674836">
        <w:rPr>
          <w:sz w:val="22"/>
          <w:szCs w:val="22"/>
        </w:rPr>
        <w:t xml:space="preserve">σμιου Οικονομικού Φόρουμ (World Economic Forum) για το 2019 </w:t>
      </w:r>
      <w:r w:rsidR="00666011">
        <w:rPr>
          <w:sz w:val="22"/>
          <w:szCs w:val="22"/>
        </w:rPr>
        <w:t xml:space="preserve">(με στοιχεία που έχουν συλλεχθεί προ της λήξης του πρώτου εξαμήνου του 2019) </w:t>
      </w:r>
      <w:r w:rsidRPr="00674836">
        <w:rPr>
          <w:sz w:val="22"/>
          <w:szCs w:val="22"/>
        </w:rPr>
        <w:t>καταδεικνύει οριακή χειροτέρευση της κατάταξης της Ελλάδας έναντι του 2018</w:t>
      </w:r>
      <w:r w:rsidRPr="00674836">
        <w:rPr>
          <w:rStyle w:val="a9"/>
          <w:sz w:val="22"/>
          <w:szCs w:val="22"/>
        </w:rPr>
        <w:footnoteReference w:id="11"/>
      </w:r>
      <w:r w:rsidRPr="00674836">
        <w:rPr>
          <w:sz w:val="22"/>
          <w:szCs w:val="22"/>
        </w:rPr>
        <w:t>, εν μέσω επιδείνωσης της επίδοσης σε ό,τι αφορά το κοινωνικό κεφάλαιο, τη δικαστική ανεξαρτησία, τη διαφάνεια, την υγεία, τις δεξιότητες και την εκπαίδευση του υπάρχ</w:t>
      </w:r>
      <w:r w:rsidRPr="00674836">
        <w:rPr>
          <w:sz w:val="22"/>
          <w:szCs w:val="22"/>
        </w:rPr>
        <w:t>ο</w:t>
      </w:r>
      <w:r w:rsidRPr="00674836">
        <w:rPr>
          <w:sz w:val="22"/>
          <w:szCs w:val="22"/>
        </w:rPr>
        <w:t>ντος εργατικού δυναμικού, τον ανταγωνισμό υπηρεσιών, την εξωστρέφεια της εμπορικής δραστηρι</w:t>
      </w:r>
      <w:r w:rsidRPr="00674836">
        <w:rPr>
          <w:sz w:val="22"/>
          <w:szCs w:val="22"/>
        </w:rPr>
        <w:t>ό</w:t>
      </w:r>
      <w:r w:rsidRPr="00674836">
        <w:rPr>
          <w:sz w:val="22"/>
          <w:szCs w:val="22"/>
        </w:rPr>
        <w:t xml:space="preserve">τητας, την αξιοκρατία, και τη διαχείριση των μη εξυπηρετούμενων δανείων. </w:t>
      </w:r>
    </w:p>
    <w:p w:rsidR="00DE399A" w:rsidRPr="00674836" w:rsidRDefault="00DE399A" w:rsidP="00DE399A">
      <w:pPr>
        <w:jc w:val="both"/>
        <w:rPr>
          <w:sz w:val="22"/>
          <w:szCs w:val="22"/>
        </w:rPr>
      </w:pPr>
    </w:p>
    <w:p w:rsidR="00DE399A" w:rsidRPr="00674836" w:rsidRDefault="00DE399A" w:rsidP="00DE399A">
      <w:pPr>
        <w:jc w:val="both"/>
        <w:rPr>
          <w:sz w:val="22"/>
          <w:szCs w:val="22"/>
        </w:rPr>
      </w:pPr>
      <w:r w:rsidRPr="00674836">
        <w:rPr>
          <w:sz w:val="22"/>
          <w:szCs w:val="22"/>
        </w:rPr>
        <w:t xml:space="preserve">Τα ως άνω δεδομένα επιτάσσουν άμεσες και αποφασιστικές πρωτοβουλίες για την ταχεία βελτίωση του επιχειρηματικού κλίματος σε όλα τα βασικά κριτήρια των διεθνών δεικτών ανταγωνιστικότητας, ώστε να δοθεί ώθηση στις νέες επενδύσεις και στην ικανότητα της χώρας να δημιουργεί πλούτο και νέες θέσεις εργασίας. </w:t>
      </w:r>
    </w:p>
    <w:p w:rsidR="00DE399A" w:rsidRPr="00674836" w:rsidRDefault="00DE399A" w:rsidP="00DE399A">
      <w:pPr>
        <w:jc w:val="both"/>
        <w:rPr>
          <w:sz w:val="22"/>
          <w:szCs w:val="22"/>
        </w:rPr>
      </w:pPr>
    </w:p>
    <w:p w:rsidR="00DE399A" w:rsidRPr="00674836" w:rsidRDefault="00DE399A" w:rsidP="00DE399A">
      <w:pPr>
        <w:jc w:val="both"/>
        <w:rPr>
          <w:sz w:val="22"/>
          <w:szCs w:val="22"/>
        </w:rPr>
      </w:pPr>
      <w:r w:rsidRPr="00674836">
        <w:rPr>
          <w:sz w:val="22"/>
          <w:szCs w:val="22"/>
        </w:rPr>
        <w:t>Ως εκ τούτου, βάσει της νέας κυβερνητικής πολιτικής τα εν λόγω κριτήρια αποτελούν πεδία επιταχ</w:t>
      </w:r>
      <w:r w:rsidRPr="00674836">
        <w:rPr>
          <w:sz w:val="22"/>
          <w:szCs w:val="22"/>
        </w:rPr>
        <w:t>υ</w:t>
      </w:r>
      <w:r w:rsidRPr="00674836">
        <w:rPr>
          <w:sz w:val="22"/>
          <w:szCs w:val="22"/>
        </w:rPr>
        <w:t>νόμενων μεταρρυθμίσεων. Λόγω της επιτάχυνσης, μεσο-μακροπρόθεσμα αναμένεται να αποδοθούν καρποί σε όρους ανταγωνιστικότητας τόσο στους τομείς που σήμερα παρουσιάζουν επιδείνωση, όσο και σε τομείς όπου οι μεταρρυθμίσεις αποφέρουν τα πρώτα οφέλη σύμφωνα με τον δείκτη παγκόσμ</w:t>
      </w:r>
      <w:r w:rsidRPr="00674836">
        <w:rPr>
          <w:sz w:val="22"/>
          <w:szCs w:val="22"/>
        </w:rPr>
        <w:t>ι</w:t>
      </w:r>
      <w:r w:rsidRPr="00674836">
        <w:rPr>
          <w:sz w:val="22"/>
          <w:szCs w:val="22"/>
        </w:rPr>
        <w:t>ας ανταγωνιστικότητας</w:t>
      </w:r>
      <w:r w:rsidRPr="00674836">
        <w:rPr>
          <w:rStyle w:val="a9"/>
          <w:sz w:val="22"/>
          <w:szCs w:val="22"/>
        </w:rPr>
        <w:footnoteReference w:id="12"/>
      </w:r>
      <w:r w:rsidRPr="00674836">
        <w:rPr>
          <w:sz w:val="22"/>
          <w:szCs w:val="22"/>
        </w:rPr>
        <w:t xml:space="preserve">.  </w:t>
      </w:r>
    </w:p>
    <w:p w:rsidR="00DE399A" w:rsidRPr="00674836" w:rsidRDefault="00DE399A" w:rsidP="00DE399A">
      <w:pPr>
        <w:jc w:val="both"/>
        <w:rPr>
          <w:sz w:val="22"/>
          <w:szCs w:val="22"/>
        </w:rPr>
      </w:pPr>
    </w:p>
    <w:p w:rsidR="00DE399A" w:rsidRPr="00674836" w:rsidRDefault="00DE399A" w:rsidP="00DE399A">
      <w:pPr>
        <w:jc w:val="both"/>
        <w:rPr>
          <w:sz w:val="22"/>
          <w:szCs w:val="22"/>
        </w:rPr>
      </w:pPr>
      <w:r w:rsidRPr="00674836">
        <w:rPr>
          <w:sz w:val="22"/>
          <w:szCs w:val="22"/>
        </w:rPr>
        <w:t xml:space="preserve">Η προσήλωση στη συνέχιση, εμβάθυνση και ολοκλήρωση των διαρθρωτικών μεταρρυθμίσεων σε </w:t>
      </w:r>
      <w:r w:rsidRPr="00674836">
        <w:rPr>
          <w:sz w:val="22"/>
          <w:szCs w:val="22"/>
        </w:rPr>
        <w:t>ό</w:t>
      </w:r>
      <w:r w:rsidRPr="00674836">
        <w:rPr>
          <w:sz w:val="22"/>
          <w:szCs w:val="22"/>
        </w:rPr>
        <w:t xml:space="preserve">λους τους παραπάνω τομείς κρίνεται αναπόσπαστο κομμάτι της τρέχουσας στρατηγικής </w:t>
      </w:r>
      <w:r w:rsidRPr="00674836">
        <w:rPr>
          <w:sz w:val="22"/>
        </w:rPr>
        <w:t>για τη συν</w:t>
      </w:r>
      <w:r w:rsidRPr="00674836">
        <w:rPr>
          <w:sz w:val="22"/>
        </w:rPr>
        <w:t>ο</w:t>
      </w:r>
      <w:r w:rsidRPr="00674836">
        <w:rPr>
          <w:sz w:val="22"/>
        </w:rPr>
        <w:t>λική στροφή της οικονομικής πολιτικής προς πολιτικές που τονώνουν την εγχώρια ζήτηση (ιδίως τις επενδύσεις) και εξυπηρετούν υψηλούς ρυθμούς ανάπτυξης με διατηρήσιμο τρόπο</w:t>
      </w:r>
      <w:r w:rsidRPr="00674836">
        <w:rPr>
          <w:rStyle w:val="a9"/>
          <w:sz w:val="22"/>
        </w:rPr>
        <w:footnoteReference w:id="13"/>
      </w:r>
      <w:r w:rsidRPr="00674836">
        <w:rPr>
          <w:sz w:val="22"/>
          <w:szCs w:val="22"/>
        </w:rPr>
        <w:t xml:space="preserve">. </w:t>
      </w:r>
    </w:p>
    <w:p w:rsidR="00DE399A" w:rsidRPr="00674836" w:rsidRDefault="00DE399A" w:rsidP="00DE399A">
      <w:pPr>
        <w:jc w:val="both"/>
        <w:rPr>
          <w:sz w:val="22"/>
          <w:szCs w:val="22"/>
        </w:rPr>
      </w:pPr>
    </w:p>
    <w:p w:rsidR="00DE399A" w:rsidRPr="00674836" w:rsidRDefault="00DE399A" w:rsidP="00DE399A">
      <w:pPr>
        <w:jc w:val="both"/>
        <w:rPr>
          <w:sz w:val="22"/>
          <w:szCs w:val="22"/>
        </w:rPr>
      </w:pPr>
      <w:r w:rsidRPr="00674836">
        <w:rPr>
          <w:sz w:val="22"/>
          <w:szCs w:val="22"/>
        </w:rPr>
        <w:t>Την παραπάνω περιγραφόμενη συνολική στροφή πολιτικής σηματοδοτούν τα άμεσα μέτρα φορολογ</w:t>
      </w:r>
      <w:r w:rsidRPr="00674836">
        <w:rPr>
          <w:sz w:val="22"/>
          <w:szCs w:val="22"/>
        </w:rPr>
        <w:t>ι</w:t>
      </w:r>
      <w:r w:rsidRPr="00674836">
        <w:rPr>
          <w:sz w:val="22"/>
          <w:szCs w:val="22"/>
        </w:rPr>
        <w:t xml:space="preserve">κής ελάφρυνσης που εφαρμόζονται σταδιακά από το καλοκαίρι του 2019, τα νέα </w:t>
      </w:r>
      <w:r w:rsidRPr="00674836">
        <w:rPr>
          <w:sz w:val="22"/>
        </w:rPr>
        <w:t>διαρθρωτικά μέτρα βελτίωσης του επενδυτικού περιβάλλοντος</w:t>
      </w:r>
      <w:r w:rsidRPr="00674836">
        <w:rPr>
          <w:sz w:val="22"/>
          <w:szCs w:val="22"/>
        </w:rPr>
        <w:t xml:space="preserve"> (</w:t>
      </w:r>
      <w:r w:rsidRPr="00674836">
        <w:rPr>
          <w:sz w:val="22"/>
        </w:rPr>
        <w:t>άμεσα μέτρα για τη χαλάρωση των συνθηκών ρευστότ</w:t>
      </w:r>
      <w:r w:rsidRPr="00674836">
        <w:rPr>
          <w:sz w:val="22"/>
        </w:rPr>
        <w:t>η</w:t>
      </w:r>
      <w:r w:rsidRPr="00674836">
        <w:rPr>
          <w:sz w:val="22"/>
        </w:rPr>
        <w:t>τας στην οικονομία</w:t>
      </w:r>
      <w:r w:rsidRPr="00674836">
        <w:rPr>
          <w:sz w:val="22"/>
          <w:vertAlign w:val="superscript"/>
        </w:rPr>
        <w:footnoteReference w:id="14"/>
      </w:r>
      <w:r w:rsidRPr="00674836">
        <w:rPr>
          <w:sz w:val="22"/>
        </w:rPr>
        <w:t xml:space="preserve">, </w:t>
      </w:r>
      <w:r w:rsidRPr="00674836">
        <w:rPr>
          <w:sz w:val="22"/>
          <w:szCs w:val="22"/>
        </w:rPr>
        <w:t>επιτάχυνση υλοποίησης σημαντικών επενδυτικών σχεδίων, διαμόρφωση του νέου αναπτυξιακού πλαισίου,</w:t>
      </w:r>
      <w:r w:rsidRPr="00674836">
        <w:rPr>
          <w:sz w:val="22"/>
        </w:rPr>
        <w:t xml:space="preserve"> αξιοποίηση του εργαλείου των δημόσιων επενδύσεων)</w:t>
      </w:r>
      <w:r w:rsidRPr="00674836">
        <w:rPr>
          <w:sz w:val="22"/>
          <w:szCs w:val="22"/>
        </w:rPr>
        <w:t>, το σχέδιο «</w:t>
      </w:r>
      <w:r w:rsidRPr="00674836">
        <w:rPr>
          <w:sz w:val="22"/>
          <w:szCs w:val="22"/>
        </w:rPr>
        <w:t>Η</w:t>
      </w:r>
      <w:r w:rsidRPr="00674836">
        <w:rPr>
          <w:sz w:val="22"/>
          <w:szCs w:val="22"/>
        </w:rPr>
        <w:lastRenderedPageBreak/>
        <w:t xml:space="preserve">ρακλής» για τη στήριξη της μείωσης των μη εξυπηρετούμενων δανείων των ελληνικών τραπεζών, και η κατάρτιση του Προϋπολογισμού 2020 με δημοσιονομικά μέτρα που ευνοούν ταυτόχρονα: (α) τη στήριξη του διαθέσιμου εισοδήματος των πολιτών, (β) την ενίσχυση της επιχειρηματικότητας και των επενδύσεων, και (γ) τη μείωση της παραοικονομίας προς όφελος του επίσημου τομέα της οικονομίας (και συνεπώς της παραγωγικότητας). </w:t>
      </w:r>
    </w:p>
    <w:p w:rsidR="00DE399A" w:rsidRPr="00674836" w:rsidRDefault="00DE399A" w:rsidP="00DE399A">
      <w:pPr>
        <w:jc w:val="both"/>
        <w:rPr>
          <w:sz w:val="22"/>
        </w:rPr>
      </w:pPr>
    </w:p>
    <w:p w:rsidR="00DE399A" w:rsidRPr="00674836" w:rsidRDefault="00DE399A" w:rsidP="00DE399A">
      <w:pPr>
        <w:jc w:val="both"/>
        <w:rPr>
          <w:sz w:val="22"/>
          <w:szCs w:val="22"/>
        </w:rPr>
      </w:pPr>
      <w:r w:rsidRPr="00674836">
        <w:rPr>
          <w:sz w:val="22"/>
          <w:szCs w:val="22"/>
        </w:rPr>
        <w:t>Ειδικότερα, όσον αφορά το νέο θεσμικό αναπτυξιακό πλαίσιο, αυτό αποτελεί σημαντικό στόχο της νέας οικονομικής πολιτικής προκειμένου να αυξηθούν οι επενδυτικές ευκαιρίες και πρωτοβουλίες, στηρίζοντας πιο μακροπρόθεσμα την ανάπτυξη και τη μείωση των περιφερειακών ανισοτήτων, και αυξάνοντας την ολική παραγωγικότητα. Σε αυτό το πλαίσιο, ο νέος αναπτυξιακός νόμος προωθεί σ</w:t>
      </w:r>
      <w:r w:rsidRPr="00674836">
        <w:rPr>
          <w:sz w:val="22"/>
          <w:szCs w:val="22"/>
        </w:rPr>
        <w:t>υ</w:t>
      </w:r>
      <w:r w:rsidRPr="00674836">
        <w:rPr>
          <w:sz w:val="22"/>
          <w:szCs w:val="22"/>
        </w:rPr>
        <w:t>γκεκριμένες μεταρρυθμίσεις, μεταξύ των οποίων είναι η στήριξη των νεοφυών επιχειρήσεων ή των επιχειρήσεων με σοβαρά οικονομικά προβλήματα, και η διασφάλιση της υγιούς, διαφανούς και αντ</w:t>
      </w:r>
      <w:r w:rsidRPr="00674836">
        <w:rPr>
          <w:sz w:val="22"/>
          <w:szCs w:val="22"/>
        </w:rPr>
        <w:t>ι</w:t>
      </w:r>
      <w:r w:rsidRPr="00674836">
        <w:rPr>
          <w:sz w:val="22"/>
          <w:szCs w:val="22"/>
        </w:rPr>
        <w:t>προσωπευτικής εκπροσώπησης των κοινωνικών εταίρων</w:t>
      </w:r>
      <w:r w:rsidRPr="00674836">
        <w:rPr>
          <w:rStyle w:val="a9"/>
          <w:sz w:val="22"/>
          <w:szCs w:val="22"/>
        </w:rPr>
        <w:footnoteReference w:id="15"/>
      </w:r>
      <w:r w:rsidRPr="00674836">
        <w:rPr>
          <w:sz w:val="22"/>
          <w:szCs w:val="22"/>
        </w:rPr>
        <w:t xml:space="preserve">. </w:t>
      </w:r>
    </w:p>
    <w:p w:rsidR="00DE399A" w:rsidRPr="00674836" w:rsidRDefault="00DE399A" w:rsidP="00DE399A">
      <w:pPr>
        <w:jc w:val="both"/>
        <w:rPr>
          <w:sz w:val="22"/>
          <w:szCs w:val="22"/>
        </w:rPr>
      </w:pPr>
    </w:p>
    <w:p w:rsidR="00DE399A" w:rsidRPr="00674836" w:rsidRDefault="00DE399A" w:rsidP="00DE399A">
      <w:pPr>
        <w:pStyle w:val="10"/>
        <w:jc w:val="both"/>
        <w:rPr>
          <w:color w:val="auto"/>
          <w:sz w:val="22"/>
          <w:szCs w:val="22"/>
        </w:rPr>
      </w:pPr>
      <w:r w:rsidRPr="00674836">
        <w:rPr>
          <w:color w:val="auto"/>
          <w:sz w:val="22"/>
          <w:szCs w:val="22"/>
        </w:rPr>
        <w:t xml:space="preserve">Η απήχηση της νέας αυτής οικονομικής πολιτικής αντικατοπτρίζεται σε όλους τους βραχυχρόνιους δείκτες εμπιστοσύνης και οικονομικού κλίματος, αλλά και στις αποδόσεις των κρατικών τίτλων. </w:t>
      </w:r>
    </w:p>
    <w:p w:rsidR="00DE399A" w:rsidRPr="00674836" w:rsidRDefault="00DE399A" w:rsidP="00DE399A">
      <w:pPr>
        <w:pStyle w:val="10"/>
        <w:jc w:val="both"/>
        <w:rPr>
          <w:color w:val="auto"/>
          <w:sz w:val="22"/>
          <w:szCs w:val="22"/>
        </w:rPr>
      </w:pPr>
    </w:p>
    <w:p w:rsidR="00DE399A" w:rsidRPr="000416F9" w:rsidRDefault="00DE399A" w:rsidP="00DE399A">
      <w:pPr>
        <w:pStyle w:val="10"/>
        <w:jc w:val="both"/>
        <w:rPr>
          <w:color w:val="auto"/>
          <w:sz w:val="22"/>
          <w:szCs w:val="22"/>
        </w:rPr>
      </w:pPr>
      <w:r w:rsidRPr="00674836">
        <w:rPr>
          <w:color w:val="auto"/>
          <w:sz w:val="22"/>
          <w:szCs w:val="22"/>
        </w:rPr>
        <w:t>Αφενός, ο δείκτης οικονομικού κλίματος μετά το πρώτο εξάμηνο του 2019 ακολουθεί μία εντυπωσι</w:t>
      </w:r>
      <w:r w:rsidRPr="00674836">
        <w:rPr>
          <w:color w:val="auto"/>
          <w:sz w:val="22"/>
          <w:szCs w:val="22"/>
        </w:rPr>
        <w:t>α</w:t>
      </w:r>
      <w:r w:rsidRPr="00674836">
        <w:rPr>
          <w:color w:val="auto"/>
          <w:sz w:val="22"/>
          <w:szCs w:val="22"/>
        </w:rPr>
        <w:t>κά ανοδική πορεία που αποτελεί ρεκόρ για την Ελλάδα από την έναρξη της οικονομικής κρίσης, σε αντίθεση με την επιβράδυνση στον αντίστοιχο δείκτη της Ευρωζώνης (Διάγραμμα 1.3). Η αναντιστο</w:t>
      </w:r>
      <w:r w:rsidRPr="00674836">
        <w:rPr>
          <w:color w:val="auto"/>
          <w:sz w:val="22"/>
          <w:szCs w:val="22"/>
        </w:rPr>
        <w:t>ι</w:t>
      </w:r>
      <w:r w:rsidRPr="00674836">
        <w:rPr>
          <w:color w:val="auto"/>
          <w:sz w:val="22"/>
          <w:szCs w:val="22"/>
        </w:rPr>
        <w:t>χία αυτή στην τάση των επιχειρηματικών προσδοκιών μεταξύ Ελλάδας και Ευρωζώνης υποδηλώνει και το διαφορετικό στάδιο του οικονομικού κύκλου στην Ελλάδα, εξαιτίας του οποίου η όποια αρν</w:t>
      </w:r>
      <w:r w:rsidRPr="00674836">
        <w:rPr>
          <w:color w:val="auto"/>
          <w:sz w:val="22"/>
          <w:szCs w:val="22"/>
        </w:rPr>
        <w:t>η</w:t>
      </w:r>
      <w:r w:rsidRPr="00674836">
        <w:rPr>
          <w:color w:val="auto"/>
          <w:sz w:val="22"/>
          <w:szCs w:val="22"/>
        </w:rPr>
        <w:t>τική επίδραση στην εγχώρια οικονομική δραστηριότητα από την επιβράδυνση της ευρωπαϊκής αν</w:t>
      </w:r>
      <w:r w:rsidRPr="00674836">
        <w:rPr>
          <w:color w:val="auto"/>
          <w:sz w:val="22"/>
          <w:szCs w:val="22"/>
        </w:rPr>
        <w:t>ά</w:t>
      </w:r>
      <w:r w:rsidRPr="00674836">
        <w:rPr>
          <w:color w:val="auto"/>
          <w:sz w:val="22"/>
          <w:szCs w:val="22"/>
        </w:rPr>
        <w:t xml:space="preserve">πτυξης αναμένεται να είναι περιορισμένη. </w:t>
      </w:r>
    </w:p>
    <w:p w:rsidR="00C332D9" w:rsidRPr="000416F9" w:rsidRDefault="00C332D9" w:rsidP="00DE399A">
      <w:pPr>
        <w:pStyle w:val="10"/>
        <w:jc w:val="both"/>
        <w:rPr>
          <w:color w:val="auto"/>
          <w:sz w:val="22"/>
          <w:szCs w:val="22"/>
        </w:rPr>
      </w:pPr>
    </w:p>
    <w:p w:rsidR="00B970E9" w:rsidRPr="00674836" w:rsidRDefault="00B970E9" w:rsidP="00DE399A">
      <w:pPr>
        <w:pStyle w:val="10"/>
        <w:jc w:val="both"/>
        <w:rPr>
          <w:color w:val="auto"/>
          <w:sz w:val="22"/>
          <w:szCs w:val="22"/>
        </w:rPr>
      </w:pPr>
    </w:p>
    <w:tbl>
      <w:tblPr>
        <w:tblW w:w="0" w:type="auto"/>
        <w:tblBorders>
          <w:insideV w:val="single" w:sz="4" w:space="0" w:color="auto"/>
        </w:tblBorders>
        <w:tblLook w:val="04A0"/>
      </w:tblPr>
      <w:tblGrid>
        <w:gridCol w:w="9286"/>
      </w:tblGrid>
      <w:tr w:rsidR="00DE399A" w:rsidRPr="00ED7995" w:rsidTr="00A94BF0">
        <w:trPr>
          <w:trHeight w:val="20"/>
        </w:trPr>
        <w:tc>
          <w:tcPr>
            <w:tcW w:w="9286" w:type="dxa"/>
            <w:shd w:val="clear" w:color="auto" w:fill="auto"/>
            <w:vAlign w:val="center"/>
          </w:tcPr>
          <w:p w:rsidR="00DE399A" w:rsidRPr="00F440DD" w:rsidRDefault="00DE399A" w:rsidP="00A94BF0">
            <w:pPr>
              <w:jc w:val="center"/>
              <w:rPr>
                <w:rFonts w:ascii="Arial Narrow" w:hAnsi="Arial Narrow"/>
                <w:b/>
                <w:sz w:val="22"/>
                <w:szCs w:val="22"/>
              </w:rPr>
            </w:pPr>
            <w:r w:rsidRPr="00F440DD">
              <w:rPr>
                <w:rFonts w:ascii="Arial Narrow" w:hAnsi="Arial Narrow"/>
                <w:b/>
                <w:sz w:val="22"/>
                <w:szCs w:val="22"/>
              </w:rPr>
              <w:t>Διάγραμμα 1.</w:t>
            </w:r>
            <w:r>
              <w:rPr>
                <w:rFonts w:ascii="Arial Narrow" w:hAnsi="Arial Narrow"/>
                <w:b/>
                <w:sz w:val="22"/>
                <w:szCs w:val="22"/>
              </w:rPr>
              <w:t>3</w:t>
            </w:r>
            <w:r w:rsidRPr="00F440DD">
              <w:rPr>
                <w:rFonts w:ascii="Arial Narrow" w:hAnsi="Arial Narrow"/>
                <w:b/>
                <w:sz w:val="22"/>
                <w:szCs w:val="22"/>
              </w:rPr>
              <w:t xml:space="preserve">  Δείκτης οικονομικού κλίματος στην Ελλάδα και την Ευρωζώνη</w:t>
            </w:r>
          </w:p>
        </w:tc>
      </w:tr>
      <w:tr w:rsidR="00A94BF0" w:rsidRPr="00ED7995" w:rsidTr="00B970E9">
        <w:tc>
          <w:tcPr>
            <w:tcW w:w="9286" w:type="dxa"/>
            <w:shd w:val="clear" w:color="auto" w:fill="auto"/>
          </w:tcPr>
          <w:p w:rsidR="00A94BF0" w:rsidRDefault="00A94BF0" w:rsidP="00B970E9">
            <w:pPr>
              <w:spacing w:before="240"/>
              <w:jc w:val="center"/>
              <w:rPr>
                <w:rFonts w:ascii="Arial Narrow" w:hAnsi="Arial Narrow"/>
                <w:b/>
                <w:sz w:val="22"/>
                <w:szCs w:val="22"/>
                <w:lang w:val="en-US"/>
              </w:rPr>
            </w:pPr>
            <w:r w:rsidRPr="00A94BF0">
              <w:rPr>
                <w:rFonts w:ascii="Arial Narrow" w:hAnsi="Arial Narrow"/>
                <w:b/>
                <w:noProof/>
                <w:sz w:val="22"/>
                <w:szCs w:val="22"/>
              </w:rPr>
              <w:drawing>
                <wp:inline distT="0" distB="0" distL="0" distR="0">
                  <wp:extent cx="4516437" cy="2762250"/>
                  <wp:effectExtent l="0" t="0" r="0" b="0"/>
                  <wp:docPr id="12"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94BF0" w:rsidRPr="00A94BF0" w:rsidRDefault="00A94BF0" w:rsidP="00C50C4D">
            <w:pPr>
              <w:spacing w:before="240"/>
              <w:rPr>
                <w:rFonts w:ascii="Arial Narrow" w:hAnsi="Arial Narrow"/>
                <w:b/>
                <w:sz w:val="22"/>
                <w:szCs w:val="22"/>
              </w:rPr>
            </w:pPr>
            <w:r w:rsidRPr="00A94BF0">
              <w:rPr>
                <w:rFonts w:ascii="Arial Narrow" w:hAnsi="Arial Narrow"/>
                <w:i/>
                <w:sz w:val="16"/>
                <w:szCs w:val="16"/>
              </w:rPr>
              <w:t xml:space="preserve">                                </w:t>
            </w:r>
            <w:r>
              <w:rPr>
                <w:rFonts w:ascii="Arial Narrow" w:hAnsi="Arial Narrow"/>
                <w:i/>
                <w:sz w:val="16"/>
                <w:szCs w:val="16"/>
              </w:rPr>
              <w:t>Πηγή</w:t>
            </w:r>
            <w:r w:rsidRPr="00ED7995">
              <w:rPr>
                <w:rFonts w:ascii="Arial Narrow" w:hAnsi="Arial Narrow"/>
                <w:i/>
                <w:sz w:val="16"/>
                <w:szCs w:val="16"/>
              </w:rPr>
              <w:t xml:space="preserve">: </w:t>
            </w:r>
            <w:r>
              <w:rPr>
                <w:rFonts w:ascii="Arial Narrow" w:hAnsi="Arial Narrow"/>
                <w:i/>
                <w:sz w:val="16"/>
                <w:szCs w:val="16"/>
              </w:rPr>
              <w:t>Έρευνα Οικονομικής Συγκυρίας, Ίδρυμα Οικονομικών και Βιομηχανικών Ερευνών</w:t>
            </w:r>
          </w:p>
        </w:tc>
      </w:tr>
    </w:tbl>
    <w:p w:rsidR="00DE399A" w:rsidRPr="00A94BF0" w:rsidRDefault="00DE399A" w:rsidP="00DE399A">
      <w:pPr>
        <w:autoSpaceDE w:val="0"/>
        <w:autoSpaceDN w:val="0"/>
        <w:adjustRightInd w:val="0"/>
        <w:jc w:val="center"/>
        <w:rPr>
          <w:rFonts w:ascii="Arial Narrow" w:hAnsi="Arial Narrow"/>
          <w:i/>
          <w:sz w:val="16"/>
          <w:szCs w:val="16"/>
        </w:rPr>
      </w:pPr>
    </w:p>
    <w:p w:rsidR="00DE399A" w:rsidRPr="000416F9" w:rsidRDefault="00DE399A" w:rsidP="00DE399A">
      <w:pPr>
        <w:autoSpaceDE w:val="0"/>
        <w:autoSpaceDN w:val="0"/>
        <w:adjustRightInd w:val="0"/>
        <w:rPr>
          <w:szCs w:val="22"/>
        </w:rPr>
      </w:pPr>
    </w:p>
    <w:p w:rsidR="00DE399A" w:rsidRPr="000416F9" w:rsidRDefault="00DE399A" w:rsidP="00C50C4D">
      <w:pPr>
        <w:widowControl w:val="0"/>
        <w:ind w:right="-57"/>
        <w:jc w:val="both"/>
        <w:rPr>
          <w:sz w:val="22"/>
        </w:rPr>
      </w:pPr>
      <w:r w:rsidRPr="00674836">
        <w:rPr>
          <w:sz w:val="22"/>
          <w:szCs w:val="22"/>
        </w:rPr>
        <w:lastRenderedPageBreak/>
        <w:t>Αφετέρου, η πρόσφατη διαμόρφωση των αποδόσεων των βραχυπρόθεσμων ελληνικών εντόκων γρα</w:t>
      </w:r>
      <w:r w:rsidRPr="00674836">
        <w:rPr>
          <w:sz w:val="22"/>
          <w:szCs w:val="22"/>
        </w:rPr>
        <w:t>μ</w:t>
      </w:r>
      <w:r w:rsidRPr="00674836">
        <w:rPr>
          <w:sz w:val="22"/>
          <w:szCs w:val="22"/>
        </w:rPr>
        <w:t>ματίων σε αρνητικές τιμές, αν και ακολουθεί την αντίστοιχη εξέλιξη στις διεθνείς αγορές</w:t>
      </w:r>
      <w:r w:rsidRPr="00674836">
        <w:rPr>
          <w:rStyle w:val="a9"/>
          <w:sz w:val="22"/>
          <w:szCs w:val="22"/>
        </w:rPr>
        <w:footnoteReference w:id="16"/>
      </w:r>
      <w:r w:rsidRPr="00674836">
        <w:rPr>
          <w:sz w:val="22"/>
          <w:szCs w:val="22"/>
        </w:rPr>
        <w:t>, υποδηλ</w:t>
      </w:r>
      <w:r w:rsidRPr="00674836">
        <w:rPr>
          <w:sz w:val="22"/>
          <w:szCs w:val="22"/>
        </w:rPr>
        <w:t>ώ</w:t>
      </w:r>
      <w:r w:rsidRPr="00674836">
        <w:rPr>
          <w:sz w:val="22"/>
          <w:szCs w:val="22"/>
        </w:rPr>
        <w:t xml:space="preserve">νει σε μεγάλο βαθμό τη στροφή της εμπιστοσύνης των αγορών </w:t>
      </w:r>
      <w:r w:rsidRPr="00674836">
        <w:rPr>
          <w:sz w:val="22"/>
        </w:rPr>
        <w:t>στην Ελληνική οικονομία</w:t>
      </w:r>
      <w:r w:rsidRPr="00674836">
        <w:rPr>
          <w:sz w:val="22"/>
          <w:szCs w:val="22"/>
        </w:rPr>
        <w:t>. Αυτό δι</w:t>
      </w:r>
      <w:r w:rsidRPr="00674836">
        <w:rPr>
          <w:sz w:val="22"/>
          <w:szCs w:val="22"/>
        </w:rPr>
        <w:t>α</w:t>
      </w:r>
      <w:r w:rsidRPr="00674836">
        <w:rPr>
          <w:sz w:val="22"/>
          <w:szCs w:val="22"/>
        </w:rPr>
        <w:t>φαίνεται ασφαλέστερα στην</w:t>
      </w:r>
      <w:r w:rsidRPr="00674836">
        <w:rPr>
          <w:sz w:val="22"/>
        </w:rPr>
        <w:t xml:space="preserve"> ιστορικά χαμηλή απόδοση του 1,5% κατά την έκδοση του δεκαετούς ομ</w:t>
      </w:r>
      <w:r w:rsidRPr="00674836">
        <w:rPr>
          <w:sz w:val="22"/>
        </w:rPr>
        <w:t>ο</w:t>
      </w:r>
      <w:r w:rsidRPr="00674836">
        <w:rPr>
          <w:sz w:val="22"/>
        </w:rPr>
        <w:t xml:space="preserve">λόγου Οκτωβρίου 2019, η οποία επισφραγίζει την προσδοκία των αγορών για ισχυρές προοπτικές </w:t>
      </w:r>
      <w:r w:rsidRPr="00674836">
        <w:rPr>
          <w:sz w:val="22"/>
        </w:rPr>
        <w:t>α</w:t>
      </w:r>
      <w:r w:rsidR="00666011">
        <w:rPr>
          <w:sz w:val="22"/>
        </w:rPr>
        <w:t>νάπτυξης και παρουσιάζει πολύ μεγάλη βελτίωση σε σχέση με την έκδοση δεκαετούς ομολόγου που είχε γίνει τον Μάρτιο του 2019 με απόδοση τότε 3,9%.</w:t>
      </w:r>
      <w:r w:rsidRPr="00674836">
        <w:rPr>
          <w:sz w:val="22"/>
        </w:rPr>
        <w:t xml:space="preserve"> </w:t>
      </w:r>
    </w:p>
    <w:p w:rsidR="00C332D9" w:rsidRPr="00666011" w:rsidRDefault="00C332D9" w:rsidP="00C50C4D">
      <w:pPr>
        <w:widowControl w:val="0"/>
        <w:ind w:right="-57"/>
        <w:jc w:val="both"/>
        <w:rPr>
          <w:sz w:val="16"/>
        </w:rPr>
      </w:pPr>
    </w:p>
    <w:p w:rsidR="00DE399A" w:rsidRPr="00674836" w:rsidRDefault="00DE399A" w:rsidP="00C332D9">
      <w:pPr>
        <w:widowControl w:val="0"/>
        <w:ind w:right="-57"/>
        <w:jc w:val="both"/>
        <w:rPr>
          <w:sz w:val="22"/>
        </w:rPr>
      </w:pPr>
      <w:r w:rsidRPr="00674836">
        <w:rPr>
          <w:sz w:val="22"/>
          <w:lang w:val="en-US"/>
        </w:rPr>
        <w:t>H</w:t>
      </w:r>
      <w:r w:rsidRPr="00674836">
        <w:rPr>
          <w:sz w:val="22"/>
        </w:rPr>
        <w:t xml:space="preserve"> εξομάλυνση της καμπύλης αποδόσεων, πέρα από τη διευκόλυνση νέων εκδόσεων εντός του 2019, συντέλεσε στην απόφαση για το επίσημο αίτημα της Ελληνικής Κυβέρνησης προς τον ΕΜΣ και το ΕΤΧΣ, στις 16 Σεπτεμβρίου 2019, όσον αφορά την πρόωρη μερική αποπληρωμή των δανείων του Δι</w:t>
      </w:r>
      <w:r w:rsidRPr="00674836">
        <w:rPr>
          <w:sz w:val="22"/>
        </w:rPr>
        <w:t>ε</w:t>
      </w:r>
      <w:r w:rsidRPr="00674836">
        <w:rPr>
          <w:sz w:val="22"/>
        </w:rPr>
        <w:t>θνούς Νομισματικού Ταμείου (ΔΝΤ) κατά</w:t>
      </w:r>
      <w:r w:rsidRPr="00674836">
        <w:rPr>
          <w:b/>
          <w:sz w:val="22"/>
        </w:rPr>
        <w:t xml:space="preserve"> </w:t>
      </w:r>
      <w:r w:rsidRPr="00674836">
        <w:rPr>
          <w:sz w:val="22"/>
        </w:rPr>
        <w:t>2,7 δισ. ευρώ. Το αίτημα έγινε δεκτό από τους ως άνω θ</w:t>
      </w:r>
      <w:r w:rsidRPr="00674836">
        <w:rPr>
          <w:sz w:val="22"/>
        </w:rPr>
        <w:t>ε</w:t>
      </w:r>
      <w:r w:rsidRPr="00674836">
        <w:rPr>
          <w:sz w:val="22"/>
        </w:rPr>
        <w:t>σμούς, με την κατ’ εξαίρεση άρση της υποχρέωσης (βάσει της δανειακής σύμβασης) για ταυτόχρονη αποπληρωμή δανείων προς τον ΕΜΣ και το ΕΤΧΣ ύψους 52,2 δισ. ευρώ. Ως αποτέλεσμα της πρόωρης αποπληρωμής προς το ΔΝΤ, η Ελλάδα θα αντιμετωπίζει χαμηλότερο μέσο</w:t>
      </w:r>
      <w:r w:rsidRPr="00674836">
        <w:rPr>
          <w:b/>
          <w:color w:val="FF0000"/>
          <w:sz w:val="22"/>
        </w:rPr>
        <w:t xml:space="preserve"> </w:t>
      </w:r>
      <w:r w:rsidRPr="00674836">
        <w:rPr>
          <w:sz w:val="22"/>
        </w:rPr>
        <w:t>κόστος δανεισμού, βελτι</w:t>
      </w:r>
      <w:r w:rsidRPr="00674836">
        <w:rPr>
          <w:sz w:val="22"/>
        </w:rPr>
        <w:t>ω</w:t>
      </w:r>
      <w:r w:rsidRPr="00674836">
        <w:rPr>
          <w:sz w:val="22"/>
        </w:rPr>
        <w:t xml:space="preserve">μένη βιωσιμότητα του δημοσίου χρέους και ευνοϊκότερη θεώρηση των προοπτικών της χώρας από τις αγορές. </w:t>
      </w:r>
    </w:p>
    <w:p w:rsidR="00DE399A" w:rsidRPr="00666011" w:rsidRDefault="00DE399A" w:rsidP="00DE399A">
      <w:pPr>
        <w:jc w:val="both"/>
        <w:rPr>
          <w:sz w:val="16"/>
          <w:szCs w:val="22"/>
        </w:rPr>
      </w:pPr>
    </w:p>
    <w:p w:rsidR="00DE399A" w:rsidRPr="00674836" w:rsidRDefault="00DE399A" w:rsidP="00DE399A">
      <w:pPr>
        <w:pStyle w:val="10"/>
        <w:jc w:val="both"/>
        <w:rPr>
          <w:color w:val="auto"/>
          <w:sz w:val="22"/>
          <w:szCs w:val="22"/>
        </w:rPr>
      </w:pPr>
      <w:r w:rsidRPr="00674836">
        <w:rPr>
          <w:color w:val="auto"/>
          <w:sz w:val="22"/>
          <w:szCs w:val="22"/>
        </w:rPr>
        <w:t>Η διαμορφούμενη νέα δυναμική του ΑΕΠ αποτυπώνεται στις τελευταίες μακροοικονομικές προβλ</w:t>
      </w:r>
      <w:r w:rsidRPr="00674836">
        <w:rPr>
          <w:color w:val="auto"/>
          <w:sz w:val="22"/>
          <w:szCs w:val="22"/>
        </w:rPr>
        <w:t>έ</w:t>
      </w:r>
      <w:r w:rsidRPr="00674836">
        <w:rPr>
          <w:color w:val="auto"/>
          <w:sz w:val="22"/>
          <w:szCs w:val="22"/>
        </w:rPr>
        <w:t>ψεις του ΔΝΤ</w:t>
      </w:r>
      <w:r w:rsidRPr="00674836">
        <w:rPr>
          <w:rStyle w:val="a9"/>
          <w:color w:val="auto"/>
          <w:sz w:val="22"/>
          <w:szCs w:val="22"/>
        </w:rPr>
        <w:footnoteReference w:id="17"/>
      </w:r>
      <w:r w:rsidRPr="00674836">
        <w:rPr>
          <w:color w:val="auto"/>
          <w:sz w:val="22"/>
          <w:szCs w:val="22"/>
        </w:rPr>
        <w:t xml:space="preserve">, όπου ο ρυθμός ανάπτυξης της Ελληνικής οικονομίας για το 2020 είναι μεγαλύτερος από τον αντίστοιχο της Ευρωζώνης κατά 0,8 ποσοστιαίες μονάδες. Η ευνοϊκότερη εκτίμηση έναντι της αντίστοιχης για την Ευρωζώνη </w:t>
      </w:r>
      <w:r w:rsidR="003B55C3">
        <w:rPr>
          <w:color w:val="auto"/>
          <w:sz w:val="22"/>
          <w:szCs w:val="22"/>
        </w:rPr>
        <w:t xml:space="preserve">επιβεβαιώθηκε </w:t>
      </w:r>
      <w:r w:rsidRPr="00674836">
        <w:rPr>
          <w:color w:val="auto"/>
          <w:sz w:val="22"/>
          <w:szCs w:val="22"/>
        </w:rPr>
        <w:t xml:space="preserve">από τις φθινοπωρινές προβλέψεις της Ευρωπαϊκής Επιτροπής </w:t>
      </w:r>
      <w:r w:rsidR="003B55C3">
        <w:rPr>
          <w:color w:val="auto"/>
          <w:sz w:val="22"/>
          <w:szCs w:val="22"/>
        </w:rPr>
        <w:t>με την απόκλιση μάλιστα να είναι μεγαλύτερη έναντι των προβλέψεων του ΔΝΤ.</w:t>
      </w:r>
    </w:p>
    <w:p w:rsidR="00DE399A" w:rsidRPr="00666011" w:rsidRDefault="00DE399A" w:rsidP="00DE399A">
      <w:pPr>
        <w:jc w:val="both"/>
        <w:rPr>
          <w:sz w:val="16"/>
          <w:szCs w:val="22"/>
        </w:rPr>
      </w:pPr>
    </w:p>
    <w:p w:rsidR="00DE399A" w:rsidRPr="00674836" w:rsidRDefault="00DE399A" w:rsidP="00DE399A">
      <w:pPr>
        <w:jc w:val="both"/>
        <w:rPr>
          <w:sz w:val="22"/>
          <w:szCs w:val="22"/>
        </w:rPr>
      </w:pPr>
      <w:r w:rsidRPr="00674836">
        <w:rPr>
          <w:sz w:val="22"/>
          <w:szCs w:val="22"/>
        </w:rPr>
        <w:t>Ωστόσο, στο πλαίσιο της νέας κυβερνητικής πολιτικής δεν παραγνωρίζονται ορισμένοι ανασταλτικοί παράγοντες για τις προοπτικές οικονομικής μεγέθυνσης στην Ελλάδα. Αυτοί συνίστανται: (α) στην πληθυσμιακή τάση και το πολύ υψηλό ποσοστό μακροχρόνιας ανεργίας, που συντελούν στη διαμό</w:t>
      </w:r>
      <w:r w:rsidRPr="00674836">
        <w:rPr>
          <w:sz w:val="22"/>
          <w:szCs w:val="22"/>
        </w:rPr>
        <w:t>ρ</w:t>
      </w:r>
      <w:r w:rsidRPr="00674836">
        <w:rPr>
          <w:sz w:val="22"/>
          <w:szCs w:val="22"/>
        </w:rPr>
        <w:t xml:space="preserve">φωση μετριοπαθών εκτιμήσεων για το μελλοντικό δυνητικό προϊόν, (β) στη διατήρηση έως σήμερα πολύ υψηλών πρωτογενών πλεονασμάτων, και (γ) </w:t>
      </w:r>
      <w:r w:rsidRPr="00674836">
        <w:rPr>
          <w:sz w:val="22"/>
        </w:rPr>
        <w:t>στις καθυστερήσεις ως προς την υλοποίηση των δ</w:t>
      </w:r>
      <w:r w:rsidRPr="00674836">
        <w:rPr>
          <w:sz w:val="22"/>
        </w:rPr>
        <w:t>ι</w:t>
      </w:r>
      <w:r w:rsidRPr="00674836">
        <w:rPr>
          <w:sz w:val="22"/>
        </w:rPr>
        <w:t>αρθρωτικών μεταρρυθμίσεων τα προηγούμενα έτη.</w:t>
      </w:r>
    </w:p>
    <w:p w:rsidR="00DE399A" w:rsidRPr="00666011" w:rsidRDefault="00DE399A" w:rsidP="00DE399A">
      <w:pPr>
        <w:jc w:val="both"/>
        <w:rPr>
          <w:sz w:val="16"/>
          <w:szCs w:val="22"/>
        </w:rPr>
      </w:pPr>
      <w:r w:rsidRPr="00666011">
        <w:rPr>
          <w:sz w:val="16"/>
          <w:szCs w:val="22"/>
        </w:rPr>
        <w:t xml:space="preserve"> </w:t>
      </w:r>
    </w:p>
    <w:p w:rsidR="00DE399A" w:rsidRDefault="00DE399A" w:rsidP="00DE399A">
      <w:pPr>
        <w:jc w:val="both"/>
        <w:rPr>
          <w:sz w:val="22"/>
        </w:rPr>
      </w:pPr>
      <w:r w:rsidRPr="00674836">
        <w:rPr>
          <w:sz w:val="22"/>
          <w:szCs w:val="22"/>
        </w:rPr>
        <w:t>Ως προς τον πρώτο ανασταλτικό παράγοντα, σύμφωνα με την Έρευνα Εργατικού Δυναμικού της Ε</w:t>
      </w:r>
      <w:r w:rsidRPr="00674836">
        <w:rPr>
          <w:sz w:val="22"/>
          <w:szCs w:val="22"/>
        </w:rPr>
        <w:t>λ</w:t>
      </w:r>
      <w:r w:rsidRPr="00674836">
        <w:rPr>
          <w:sz w:val="22"/>
          <w:szCs w:val="22"/>
        </w:rPr>
        <w:t>ληνικής Στατιστικής Αρχής, από το 2014 οι μακροχρόνια άνεργοι αντιπροσωπεύουν άνω του 70% των ανέργων στην Ελλάδα (το φαινόμενο της υστέρησης της ανεργίας)</w:t>
      </w:r>
      <w:r w:rsidRPr="00674836">
        <w:rPr>
          <w:rStyle w:val="a9"/>
          <w:sz w:val="22"/>
          <w:szCs w:val="22"/>
        </w:rPr>
        <w:footnoteReference w:id="18"/>
      </w:r>
      <w:r w:rsidRPr="00674836">
        <w:rPr>
          <w:sz w:val="22"/>
          <w:szCs w:val="22"/>
        </w:rPr>
        <w:t>, εν μέσω της ακόμα ανησυχητικά υψηλής ανεργίας των νέων και της χαμηλής συμμετοχής των γυναικών στην αγορά εργασίας. Επιπλ</w:t>
      </w:r>
      <w:r w:rsidRPr="00674836">
        <w:rPr>
          <w:sz w:val="22"/>
          <w:szCs w:val="22"/>
        </w:rPr>
        <w:t>έ</w:t>
      </w:r>
      <w:r w:rsidRPr="00674836">
        <w:rPr>
          <w:sz w:val="22"/>
          <w:szCs w:val="22"/>
        </w:rPr>
        <w:t>ον, σε σχέση με το ποσοστό του πληθυσμού που συμμετέχει στο εργατικό δυναμικό (μεταξύ 15 και 64 ετών), το 2018 η χώρα είχε επίδοση σημαντικά χαμηλότερη από τον μέσο όρο της Ευρωζώνης (68,2% έναντι 73,1%)</w:t>
      </w:r>
      <w:r w:rsidRPr="00674836">
        <w:rPr>
          <w:rStyle w:val="a9"/>
          <w:sz w:val="22"/>
          <w:szCs w:val="22"/>
        </w:rPr>
        <w:footnoteReference w:id="19"/>
      </w:r>
      <w:r w:rsidRPr="00674836">
        <w:rPr>
          <w:sz w:val="22"/>
          <w:szCs w:val="22"/>
        </w:rPr>
        <w:t>, εν μέσω ταχείας γήρανσης του πληθυσμού και μεγάλων ροών μετανάστευσης των νέων με υψηλή εξειδίκευση εργασίας κατά τα έτη της οικονομικής κρίσης. Δεδομένης και της υψηλής ανεργίας ως ποσοστό του εργατικού δυναμικού, το ποσοστό απασχόλησης του πληθυσμού μεταξύ 20 και 64 ετών στην Ελλάδα κινείται τα τελευταία έτη ακόμη δυσμενέστερα έναντι του μέσου όρου της Ευρωζώνης, αντιστοιχώντας για το 2018 σε 59,5%</w:t>
      </w:r>
      <w:r w:rsidRPr="00674836">
        <w:rPr>
          <w:rStyle w:val="a9"/>
          <w:sz w:val="22"/>
          <w:szCs w:val="22"/>
        </w:rPr>
        <w:footnoteReference w:id="20"/>
      </w:r>
      <w:r w:rsidRPr="00674836">
        <w:rPr>
          <w:sz w:val="22"/>
          <w:szCs w:val="22"/>
        </w:rPr>
        <w:t xml:space="preserve"> (έναντι 72% στην Ευρωζώνη). Στο πλαίσιο της νέας εφαρμοζόμενης πολιτικής, η </w:t>
      </w:r>
      <w:r w:rsidRPr="00674836">
        <w:rPr>
          <w:sz w:val="22"/>
        </w:rPr>
        <w:t>καταπολέμηση της αδήλωτης εργασίας και η καλύτερη σύνδεση των μισθών με την παραγωγικότητα αποτελούν εργαλεία για τη δημιουργία ευνοϊκών συνθηκών προς την ταχεία βελτίωση των ως άνω ποσοστών.</w:t>
      </w:r>
    </w:p>
    <w:p w:rsidR="00666011" w:rsidRPr="00666011" w:rsidRDefault="00666011" w:rsidP="00DE399A">
      <w:pPr>
        <w:jc w:val="both"/>
        <w:rPr>
          <w:sz w:val="16"/>
        </w:rPr>
      </w:pPr>
    </w:p>
    <w:p w:rsidR="00DE399A" w:rsidRPr="00674836" w:rsidRDefault="00DE399A" w:rsidP="00DE399A">
      <w:pPr>
        <w:jc w:val="both"/>
        <w:rPr>
          <w:sz w:val="22"/>
          <w:szCs w:val="22"/>
        </w:rPr>
      </w:pPr>
      <w:r w:rsidRPr="00674836">
        <w:rPr>
          <w:sz w:val="22"/>
          <w:szCs w:val="22"/>
        </w:rPr>
        <w:t>Ως προς τον δεύτερο ανασταλτικό παράγοντα, όπως αποτυπώνεται στο Διάγραμμα 1.4, κατά την π</w:t>
      </w:r>
      <w:r w:rsidRPr="00674836">
        <w:rPr>
          <w:sz w:val="22"/>
          <w:szCs w:val="22"/>
        </w:rPr>
        <w:t>ε</w:t>
      </w:r>
      <w:r w:rsidRPr="00674836">
        <w:rPr>
          <w:sz w:val="22"/>
          <w:szCs w:val="22"/>
        </w:rPr>
        <w:t xml:space="preserve">ρίοδο 2016-2018 το πρωτογενές αποτέλεσμα Γενικής Κυβέρνησης διαμορφώθηκε σημαντικά άνω του </w:t>
      </w:r>
      <w:r w:rsidRPr="00674836">
        <w:rPr>
          <w:sz w:val="22"/>
          <w:szCs w:val="22"/>
        </w:rPr>
        <w:lastRenderedPageBreak/>
        <w:t>στόχου</w:t>
      </w:r>
      <w:r w:rsidRPr="00674836">
        <w:rPr>
          <w:rStyle w:val="a9"/>
          <w:sz w:val="22"/>
          <w:szCs w:val="22"/>
        </w:rPr>
        <w:footnoteReference w:id="21"/>
      </w:r>
      <w:r w:rsidRPr="00674836">
        <w:rPr>
          <w:sz w:val="22"/>
          <w:szCs w:val="22"/>
        </w:rPr>
        <w:t>, ο οποίος αυξήθηκε περαιτέρω κατά τα έτη αυτά. Η υπέρβαση αυτή συνετέλεσε, μεταξύ ά</w:t>
      </w:r>
      <w:r w:rsidRPr="00674836">
        <w:rPr>
          <w:sz w:val="22"/>
          <w:szCs w:val="22"/>
        </w:rPr>
        <w:t>λ</w:t>
      </w:r>
      <w:r w:rsidRPr="00674836">
        <w:rPr>
          <w:sz w:val="22"/>
          <w:szCs w:val="22"/>
        </w:rPr>
        <w:t>λων παραγόντων, στην</w:t>
      </w:r>
      <w:r w:rsidR="00B970E9">
        <w:rPr>
          <w:sz w:val="22"/>
          <w:szCs w:val="22"/>
        </w:rPr>
        <w:t xml:space="preserve"> επιβράδυνση της ανάπτυξης της ε</w:t>
      </w:r>
      <w:r w:rsidRPr="00674836">
        <w:rPr>
          <w:sz w:val="22"/>
          <w:szCs w:val="22"/>
        </w:rPr>
        <w:t xml:space="preserve">λληνικής </w:t>
      </w:r>
      <w:r w:rsidR="00B970E9">
        <w:rPr>
          <w:sz w:val="22"/>
          <w:szCs w:val="22"/>
        </w:rPr>
        <w:t>ο</w:t>
      </w:r>
      <w:r w:rsidRPr="00674836">
        <w:rPr>
          <w:sz w:val="22"/>
          <w:szCs w:val="22"/>
        </w:rPr>
        <w:t>ικονομίας, όπως προβλεπόταν στις αντίστοιχες εισηγητικές εκθέσεις του προϋπολογισμού κάθε έτους, λαμβάνοντας υπόψη και τη χρονική υστέρηση που συνεπάγεται η άσκηση της περιοριστικής πολιτικής ως επίπτωση στην πρα</w:t>
      </w:r>
      <w:r w:rsidRPr="00674836">
        <w:rPr>
          <w:sz w:val="22"/>
          <w:szCs w:val="22"/>
        </w:rPr>
        <w:t>γ</w:t>
      </w:r>
      <w:r w:rsidRPr="00674836">
        <w:rPr>
          <w:sz w:val="22"/>
          <w:szCs w:val="22"/>
        </w:rPr>
        <w:t xml:space="preserve">ματική οικονομία. </w:t>
      </w:r>
    </w:p>
    <w:p w:rsidR="00DE399A" w:rsidRPr="00666011" w:rsidRDefault="00DE399A" w:rsidP="00DE399A">
      <w:pPr>
        <w:jc w:val="both"/>
        <w:rPr>
          <w:sz w:val="16"/>
          <w:szCs w:val="22"/>
        </w:rPr>
      </w:pPr>
    </w:p>
    <w:p w:rsidR="00DE399A" w:rsidRPr="00674836" w:rsidRDefault="00DE399A" w:rsidP="00DE399A">
      <w:pPr>
        <w:jc w:val="both"/>
        <w:rPr>
          <w:sz w:val="22"/>
          <w:szCs w:val="22"/>
        </w:rPr>
      </w:pPr>
      <w:r w:rsidRPr="00674836">
        <w:rPr>
          <w:sz w:val="22"/>
          <w:szCs w:val="22"/>
        </w:rPr>
        <w:t>Η μείωση των πρωτογενών πλεονασμάτων, προϋποθέτει αρχικά τη μείωση των υπερβάσεων έναντι των στόχων, κάτι που επιχειρεί</w:t>
      </w:r>
      <w:r w:rsidR="00B970E9">
        <w:rPr>
          <w:sz w:val="22"/>
          <w:szCs w:val="22"/>
        </w:rPr>
        <w:t>ται τόσο κατά την εκτέλεση του π</w:t>
      </w:r>
      <w:r w:rsidRPr="00674836">
        <w:rPr>
          <w:sz w:val="22"/>
          <w:szCs w:val="22"/>
        </w:rPr>
        <w:t xml:space="preserve">ροϋπολογισμού του 2019, όσο και στην κατάρτιση του </w:t>
      </w:r>
      <w:r w:rsidR="00B970E9">
        <w:rPr>
          <w:sz w:val="22"/>
          <w:szCs w:val="22"/>
        </w:rPr>
        <w:t>π</w:t>
      </w:r>
      <w:r w:rsidRPr="00674836">
        <w:rPr>
          <w:sz w:val="22"/>
          <w:szCs w:val="22"/>
        </w:rPr>
        <w:t>ροϋπολογισμού του 2020. Η μείωση των υπερβάσεων αυτών είναι το πρώτο β</w:t>
      </w:r>
      <w:r w:rsidRPr="00674836">
        <w:rPr>
          <w:sz w:val="22"/>
          <w:szCs w:val="22"/>
        </w:rPr>
        <w:t>ή</w:t>
      </w:r>
      <w:r w:rsidRPr="00674836">
        <w:rPr>
          <w:sz w:val="22"/>
          <w:szCs w:val="22"/>
        </w:rPr>
        <w:t>μα για τη διεκδίκηση της μείωσης των ίδιων των στόχων, κάτι που αποτελεί προϋπόθεση για την επ</w:t>
      </w:r>
      <w:r w:rsidRPr="00674836">
        <w:rPr>
          <w:sz w:val="22"/>
          <w:szCs w:val="22"/>
        </w:rPr>
        <w:t>ι</w:t>
      </w:r>
      <w:r w:rsidRPr="00674836">
        <w:rPr>
          <w:sz w:val="22"/>
          <w:szCs w:val="22"/>
        </w:rPr>
        <w:t xml:space="preserve">τάχυνση της ανάπτυξης της </w:t>
      </w:r>
      <w:r w:rsidR="00B970E9">
        <w:rPr>
          <w:sz w:val="22"/>
          <w:szCs w:val="22"/>
        </w:rPr>
        <w:t>ε</w:t>
      </w:r>
      <w:r w:rsidRPr="00674836">
        <w:rPr>
          <w:sz w:val="22"/>
          <w:szCs w:val="22"/>
        </w:rPr>
        <w:t xml:space="preserve">λληνικής </w:t>
      </w:r>
      <w:r w:rsidR="00B970E9">
        <w:rPr>
          <w:sz w:val="22"/>
          <w:szCs w:val="22"/>
        </w:rPr>
        <w:t>ο</w:t>
      </w:r>
      <w:r w:rsidRPr="00674836">
        <w:rPr>
          <w:sz w:val="22"/>
          <w:szCs w:val="22"/>
        </w:rPr>
        <w:t>ικονομίας.</w:t>
      </w:r>
    </w:p>
    <w:p w:rsidR="00B970E9" w:rsidRPr="00ED7995" w:rsidRDefault="00B970E9" w:rsidP="00E0182E">
      <w:pPr>
        <w:jc w:val="both"/>
        <w:rPr>
          <w:szCs w:val="22"/>
        </w:rPr>
      </w:pPr>
    </w:p>
    <w:tbl>
      <w:tblPr>
        <w:tblW w:w="0" w:type="auto"/>
        <w:tblBorders>
          <w:insideV w:val="single" w:sz="4" w:space="0" w:color="auto"/>
        </w:tblBorders>
        <w:tblLook w:val="04A0"/>
      </w:tblPr>
      <w:tblGrid>
        <w:gridCol w:w="9286"/>
      </w:tblGrid>
      <w:tr w:rsidR="00E0182E" w:rsidRPr="00ED7995" w:rsidTr="00B970E9">
        <w:tc>
          <w:tcPr>
            <w:tcW w:w="9286" w:type="dxa"/>
            <w:shd w:val="clear" w:color="auto" w:fill="auto"/>
          </w:tcPr>
          <w:p w:rsidR="00E0182E" w:rsidRPr="00F440DD" w:rsidRDefault="00E0182E" w:rsidP="00B970E9">
            <w:pPr>
              <w:jc w:val="center"/>
              <w:rPr>
                <w:rFonts w:ascii="Arial Narrow" w:hAnsi="Arial Narrow"/>
                <w:b/>
                <w:sz w:val="22"/>
                <w:szCs w:val="22"/>
              </w:rPr>
            </w:pPr>
            <w:r w:rsidRPr="00F440DD">
              <w:rPr>
                <w:rFonts w:ascii="Arial Narrow" w:hAnsi="Arial Narrow"/>
                <w:b/>
                <w:sz w:val="22"/>
                <w:szCs w:val="22"/>
              </w:rPr>
              <w:t xml:space="preserve">Διάγραμμα 1. </w:t>
            </w:r>
            <w:r>
              <w:rPr>
                <w:rFonts w:ascii="Arial Narrow" w:hAnsi="Arial Narrow"/>
                <w:b/>
                <w:sz w:val="22"/>
                <w:szCs w:val="22"/>
              </w:rPr>
              <w:t>4</w:t>
            </w:r>
            <w:r w:rsidRPr="00F440DD">
              <w:rPr>
                <w:rFonts w:ascii="Arial Narrow" w:hAnsi="Arial Narrow"/>
                <w:b/>
                <w:sz w:val="22"/>
                <w:szCs w:val="22"/>
              </w:rPr>
              <w:t xml:space="preserve"> Πρωτογενές αποτέλεσμα Γενικής Κυβέρνησης έναντι των στόχων και μεταβολή του πραγματικού ΑΕΠ (2016-2019)</w:t>
            </w:r>
          </w:p>
        </w:tc>
      </w:tr>
      <w:tr w:rsidR="00AC6B56" w:rsidRPr="00ED7995" w:rsidTr="00B970E9">
        <w:tc>
          <w:tcPr>
            <w:tcW w:w="9286" w:type="dxa"/>
            <w:shd w:val="clear" w:color="auto" w:fill="auto"/>
          </w:tcPr>
          <w:p w:rsidR="00AC6B56" w:rsidRPr="00F440DD" w:rsidRDefault="00F057F2" w:rsidP="00B970E9">
            <w:pPr>
              <w:jc w:val="center"/>
              <w:rPr>
                <w:rFonts w:ascii="Arial Narrow" w:hAnsi="Arial Narrow"/>
                <w:b/>
                <w:sz w:val="22"/>
                <w:szCs w:val="22"/>
              </w:rPr>
            </w:pPr>
            <w:r w:rsidRPr="00F057F2">
              <w:rPr>
                <w:rFonts w:ascii="Arial Narrow" w:hAnsi="Arial Narrow"/>
                <w:b/>
                <w:noProof/>
                <w:sz w:val="22"/>
                <w:szCs w:val="22"/>
              </w:rPr>
              <w:drawing>
                <wp:inline distT="0" distB="0" distL="0" distR="0">
                  <wp:extent cx="5486400" cy="3208655"/>
                  <wp:effectExtent l="0" t="0" r="0" b="0"/>
                  <wp:docPr id="8"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C6B56" w:rsidRPr="00ED7995" w:rsidTr="00B970E9">
        <w:tc>
          <w:tcPr>
            <w:tcW w:w="9286" w:type="dxa"/>
            <w:shd w:val="clear" w:color="auto" w:fill="auto"/>
          </w:tcPr>
          <w:p w:rsidR="00AC6B56" w:rsidRPr="00F440DD" w:rsidRDefault="00F37718" w:rsidP="00B970E9">
            <w:pPr>
              <w:jc w:val="center"/>
              <w:rPr>
                <w:rFonts w:ascii="Arial Narrow" w:hAnsi="Arial Narrow"/>
                <w:b/>
                <w:sz w:val="22"/>
                <w:szCs w:val="22"/>
              </w:rPr>
            </w:pPr>
            <w:r w:rsidRPr="00F37718">
              <w:rPr>
                <w:rFonts w:ascii="Arial Narrow" w:hAnsi="Arial Narrow"/>
                <w:b/>
                <w:noProof/>
                <w:sz w:val="22"/>
                <w:szCs w:val="22"/>
              </w:rPr>
              <w:drawing>
                <wp:inline distT="0" distB="0" distL="0" distR="0">
                  <wp:extent cx="5486400" cy="2424430"/>
                  <wp:effectExtent l="0" t="0" r="0" b="0"/>
                  <wp:docPr id="11" name="Γράφημα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E0182E" w:rsidRPr="00ED7995" w:rsidRDefault="00E0182E" w:rsidP="00666011">
      <w:pPr>
        <w:tabs>
          <w:tab w:val="left" w:pos="284"/>
        </w:tabs>
        <w:ind w:left="-142"/>
        <w:jc w:val="both"/>
        <w:rPr>
          <w:rFonts w:ascii="Arial Narrow" w:hAnsi="Arial Narrow"/>
          <w:i/>
          <w:sz w:val="16"/>
          <w:szCs w:val="16"/>
        </w:rPr>
      </w:pPr>
      <w:r w:rsidRPr="00ED7995">
        <w:rPr>
          <w:rFonts w:ascii="Arial Narrow" w:hAnsi="Arial Narrow"/>
          <w:i/>
          <w:sz w:val="16"/>
          <w:szCs w:val="16"/>
        </w:rPr>
        <w:t xml:space="preserve">Σημειώσεις: Ο στόχος πρωτογενούς πλεονάσματος των ετών 2016 και 2017 αποδίδεται σε όρους Σύμβασης Χρηματοδοτικής Διευκόλυνσης και των ετών 2018 και 2019 σε όρους Ενισχυμένης Εποπτείας. Για το 2018 το αποτέλεσμα πρωτογενούς πλεονάσματος είναι βασισμένο </w:t>
      </w:r>
      <w:r>
        <w:rPr>
          <w:rFonts w:ascii="Arial Narrow" w:hAnsi="Arial Narrow"/>
          <w:i/>
          <w:sz w:val="16"/>
          <w:szCs w:val="16"/>
        </w:rPr>
        <w:t>στην 2</w:t>
      </w:r>
      <w:r w:rsidRPr="00AA63C6">
        <w:rPr>
          <w:rFonts w:ascii="Arial Narrow" w:hAnsi="Arial Narrow"/>
          <w:i/>
          <w:sz w:val="16"/>
          <w:szCs w:val="16"/>
          <w:vertAlign w:val="superscript"/>
        </w:rPr>
        <w:t>η</w:t>
      </w:r>
      <w:r>
        <w:rPr>
          <w:rFonts w:ascii="Arial Narrow" w:hAnsi="Arial Narrow"/>
          <w:i/>
          <w:sz w:val="16"/>
          <w:szCs w:val="16"/>
        </w:rPr>
        <w:t xml:space="preserve"> κοινοποίηση ΔΥΕ για το 2018 από την ΕΛΣΤΑΤ (Οκτώβριος 2019)</w:t>
      </w:r>
      <w:r w:rsidRPr="00ED7995">
        <w:rPr>
          <w:rFonts w:ascii="Arial Narrow" w:hAnsi="Arial Narrow"/>
          <w:i/>
          <w:sz w:val="16"/>
          <w:szCs w:val="16"/>
        </w:rPr>
        <w:t>. Ο ρυθμός μεταβολής του πραγματικού ΑΕΠ της περιόδου 2016-2018 είναι σύμφωνα με τ</w:t>
      </w:r>
      <w:r>
        <w:rPr>
          <w:rFonts w:ascii="Arial Narrow" w:hAnsi="Arial Narrow"/>
          <w:i/>
          <w:sz w:val="16"/>
          <w:szCs w:val="16"/>
        </w:rPr>
        <w:t>η</w:t>
      </w:r>
      <w:r w:rsidRPr="00ED7995">
        <w:rPr>
          <w:rFonts w:ascii="Arial Narrow" w:hAnsi="Arial Narrow"/>
          <w:i/>
          <w:sz w:val="16"/>
          <w:szCs w:val="16"/>
        </w:rPr>
        <w:t xml:space="preserve"> ΔΥΕ </w:t>
      </w:r>
      <w:r>
        <w:rPr>
          <w:rFonts w:ascii="Arial Narrow" w:hAnsi="Arial Narrow"/>
          <w:i/>
          <w:sz w:val="16"/>
          <w:szCs w:val="16"/>
        </w:rPr>
        <w:t>Οκτωβρίου</w:t>
      </w:r>
      <w:r w:rsidRPr="00ED7995">
        <w:rPr>
          <w:rFonts w:ascii="Arial Narrow" w:hAnsi="Arial Narrow"/>
          <w:i/>
          <w:sz w:val="16"/>
          <w:szCs w:val="16"/>
        </w:rPr>
        <w:t xml:space="preserve"> 2019 της ΕΛΣΤΑΤ. Σύμφωνα με τις προβλέψεις της Εισηγητικής Έκθεσης του Προϋπολογισμού κάθε έτους ο ρυθμός αύξησης του ΑΕΠ είχε εκτιμηθεί σε -0,7% για το 2016, 2,7% για το 2017, 2,5% για το 2018 και 2,5% για το 2019.</w:t>
      </w:r>
    </w:p>
    <w:p w:rsidR="00E0182E" w:rsidRPr="00674836" w:rsidRDefault="00E0182E" w:rsidP="00E0182E">
      <w:pPr>
        <w:jc w:val="both"/>
        <w:rPr>
          <w:sz w:val="22"/>
        </w:rPr>
      </w:pPr>
      <w:r w:rsidRPr="00674836">
        <w:rPr>
          <w:sz w:val="22"/>
        </w:rPr>
        <w:lastRenderedPageBreak/>
        <w:t>Σε σχέση με την πορεία υλοποίησης των δημοσιονομικών διαρθρωτικών μεταρρυθμίσεων, στην πλέον πρόσφατη έκθεση ενισχυμένης εποπτείας της Ευρωπαϊκής Επιτροπής (Ιούνιος 2019)</w:t>
      </w:r>
      <w:r w:rsidRPr="00674836">
        <w:rPr>
          <w:sz w:val="22"/>
          <w:vertAlign w:val="superscript"/>
        </w:rPr>
        <w:footnoteReference w:id="22"/>
      </w:r>
      <w:r w:rsidRPr="00674836">
        <w:rPr>
          <w:sz w:val="22"/>
        </w:rPr>
        <w:t xml:space="preserve"> αναγνωρίζεται πρόοδος σε ορισμένες μεταρρυθμίσεις φορολογικού χαρακτήρα και στην υλοποίηση του ενιαίου λογ</w:t>
      </w:r>
      <w:r w:rsidRPr="00674836">
        <w:rPr>
          <w:sz w:val="22"/>
        </w:rPr>
        <w:t>ι</w:t>
      </w:r>
      <w:r w:rsidRPr="00674836">
        <w:rPr>
          <w:sz w:val="22"/>
        </w:rPr>
        <w:t xml:space="preserve">στικού σχεδίου για τους φορείς της Γενικής Κυβέρνησης. Ωστόσο, εντοπίζονται καθυστερήσεις σε πεδία όπως η υλοποίηση αποκρατικοποιήσεων, η εκκαθάριση των ληξιπρόθεσμων οφειλών και η </w:t>
      </w:r>
      <w:r w:rsidRPr="00674836">
        <w:rPr>
          <w:sz w:val="22"/>
        </w:rPr>
        <w:t>α</w:t>
      </w:r>
      <w:r w:rsidRPr="00674836">
        <w:rPr>
          <w:sz w:val="22"/>
        </w:rPr>
        <w:t xml:space="preserve">ναμόρφωση του συστήματος κοινωνικής πρόνοιας. Στην ίδια έκθεση, </w:t>
      </w:r>
      <w:r w:rsidRPr="00674836">
        <w:rPr>
          <w:bCs/>
          <w:sz w:val="22"/>
        </w:rPr>
        <w:t>η Ευρωπαϊκή Επιτροπή αποδίδει τον</w:t>
      </w:r>
      <w:r w:rsidRPr="00674836">
        <w:rPr>
          <w:sz w:val="22"/>
        </w:rPr>
        <w:t xml:space="preserve"> πλεονάζοντα δημοσιονομικό χώρο που καταγράφηκε το 2018, ως επί το πλείστον, στην παρατ</w:t>
      </w:r>
      <w:r w:rsidRPr="00674836">
        <w:rPr>
          <w:sz w:val="22"/>
        </w:rPr>
        <w:t>η</w:t>
      </w:r>
      <w:r w:rsidRPr="00674836">
        <w:rPr>
          <w:sz w:val="22"/>
        </w:rPr>
        <w:t>ρούμενη υπο-εκτέλεση του σκέλους των δαπανών</w:t>
      </w:r>
      <w:r w:rsidR="00B970E9">
        <w:rPr>
          <w:bCs/>
          <w:sz w:val="22"/>
        </w:rPr>
        <w:t xml:space="preserve"> του κ</w:t>
      </w:r>
      <w:r w:rsidRPr="00674836">
        <w:rPr>
          <w:bCs/>
          <w:sz w:val="22"/>
        </w:rPr>
        <w:t xml:space="preserve">ρατικού </w:t>
      </w:r>
      <w:r w:rsidR="00B970E9">
        <w:rPr>
          <w:bCs/>
          <w:sz w:val="22"/>
        </w:rPr>
        <w:t>π</w:t>
      </w:r>
      <w:r w:rsidRPr="00674836">
        <w:rPr>
          <w:bCs/>
          <w:sz w:val="22"/>
        </w:rPr>
        <w:t>ροϋπολογισμού,</w:t>
      </w:r>
      <w:r w:rsidRPr="00674836">
        <w:rPr>
          <w:sz w:val="22"/>
        </w:rPr>
        <w:t xml:space="preserve"> εν μέσω </w:t>
      </w:r>
      <w:r w:rsidRPr="00674836">
        <w:rPr>
          <w:bCs/>
          <w:sz w:val="22"/>
        </w:rPr>
        <w:t>συστημ</w:t>
      </w:r>
      <w:r w:rsidRPr="00674836">
        <w:rPr>
          <w:bCs/>
          <w:sz w:val="22"/>
        </w:rPr>
        <w:t>α</w:t>
      </w:r>
      <w:r w:rsidRPr="00674836">
        <w:rPr>
          <w:bCs/>
          <w:sz w:val="22"/>
        </w:rPr>
        <w:t>τικής υπερεκτίμησης των ανώτατων ορίων δαπανών, ιδίως στο σκέλος των δημοσίων επενδύσεων. Από το 2020, ο εξορθολογισμός των πρακτικών σε σχέση με τα όρια δαπανών αναμένεται να επιτρ</w:t>
      </w:r>
      <w:r w:rsidRPr="00674836">
        <w:rPr>
          <w:bCs/>
          <w:sz w:val="22"/>
        </w:rPr>
        <w:t>έ</w:t>
      </w:r>
      <w:r w:rsidRPr="00674836">
        <w:rPr>
          <w:bCs/>
          <w:sz w:val="22"/>
        </w:rPr>
        <w:t>ψει την πλήρη αξιοποίηση</w:t>
      </w:r>
      <w:r w:rsidRPr="00674836">
        <w:rPr>
          <w:sz w:val="22"/>
        </w:rPr>
        <w:t xml:space="preserve"> των διαθέσιμων πόρων δημόσιων επενδύσεων που στηρίζουν την οικον</w:t>
      </w:r>
      <w:r w:rsidRPr="00674836">
        <w:rPr>
          <w:sz w:val="22"/>
        </w:rPr>
        <w:t>ο</w:t>
      </w:r>
      <w:r w:rsidRPr="00674836">
        <w:rPr>
          <w:sz w:val="22"/>
        </w:rPr>
        <w:t>μική ανάπτυξη και στον περιορισμό του φαινομένου της υπερφορολόγησης, σε σχέση με τις πραγμ</w:t>
      </w:r>
      <w:r w:rsidRPr="00674836">
        <w:rPr>
          <w:sz w:val="22"/>
        </w:rPr>
        <w:t>α</w:t>
      </w:r>
      <w:r w:rsidRPr="00674836">
        <w:rPr>
          <w:sz w:val="22"/>
        </w:rPr>
        <w:t>τικές ανάγκες του κρατικού προϋπολογισμού.</w:t>
      </w:r>
    </w:p>
    <w:p w:rsidR="00E0182E" w:rsidRPr="00D04CC3" w:rsidRDefault="00E0182E" w:rsidP="00E0182E">
      <w:pPr>
        <w:jc w:val="both"/>
        <w:rPr>
          <w:sz w:val="22"/>
          <w:szCs w:val="22"/>
        </w:rPr>
      </w:pPr>
    </w:p>
    <w:p w:rsidR="00E0182E" w:rsidRPr="00674836" w:rsidRDefault="00E0182E" w:rsidP="00E0182E">
      <w:pPr>
        <w:jc w:val="both"/>
        <w:rPr>
          <w:sz w:val="22"/>
        </w:rPr>
      </w:pPr>
      <w:r w:rsidRPr="00674836">
        <w:rPr>
          <w:sz w:val="22"/>
        </w:rPr>
        <w:t xml:space="preserve">Με την επισήμανση της αρνητικής προέκτασης της υπο-εκτέλεσης δαπανών για την πορεία του ΑΕΠ, το θετικό δημοσιονομικό αποτέλεσμα διατηρήθηκε το 2018 για τρίτο κατά σειρά έτος. Το ισοζύγιο της Γενικής Κυβέρνησης διαμορφώθηκε σε +1,0% του ΑΕΠ κατά </w:t>
      </w:r>
      <w:r w:rsidRPr="00674836">
        <w:rPr>
          <w:sz w:val="22"/>
          <w:lang w:val="en-US"/>
        </w:rPr>
        <w:t>ESA</w:t>
      </w:r>
      <w:r w:rsidRPr="00674836">
        <w:rPr>
          <w:sz w:val="22"/>
        </w:rPr>
        <w:t xml:space="preserve"> 2010, και το πρωτογενές πλεόνασμα ανήλθε σε 4,2% του ΑΕΠ βάσει της μεθοδολογίας ενισχυμένης εποπτείας, υπερβαίνοντας τον στόχο του 3,5%. Σύμφωνα με </w:t>
      </w:r>
      <w:r w:rsidR="00E45B99">
        <w:rPr>
          <w:sz w:val="22"/>
        </w:rPr>
        <w:t xml:space="preserve">την παρούσα Εισηγητική Έκθεση του Κρατικού Προϋπολογισμού </w:t>
      </w:r>
      <w:r w:rsidRPr="00674836">
        <w:rPr>
          <w:sz w:val="22"/>
        </w:rPr>
        <w:t>το πρωτογενές πλεόνασμα των ετών 2019 και 2020 αναμένεται να δια</w:t>
      </w:r>
      <w:r w:rsidR="00EC15F8">
        <w:rPr>
          <w:sz w:val="22"/>
        </w:rPr>
        <w:t>μορφωθεί σημαντικά εγγύτερα στο</w:t>
      </w:r>
      <w:r w:rsidRPr="00674836">
        <w:rPr>
          <w:sz w:val="22"/>
        </w:rPr>
        <w:t xml:space="preserve"> στόχο του 3,5% του ΑΕΠ (σε 3,7</w:t>
      </w:r>
      <w:r w:rsidR="00E45B99">
        <w:rPr>
          <w:sz w:val="22"/>
        </w:rPr>
        <w:t>3</w:t>
      </w:r>
      <w:r w:rsidRPr="00674836">
        <w:rPr>
          <w:sz w:val="22"/>
        </w:rPr>
        <w:t>% και 3,</w:t>
      </w:r>
      <w:r w:rsidR="00E45B99">
        <w:rPr>
          <w:sz w:val="22"/>
        </w:rPr>
        <w:t>58</w:t>
      </w:r>
      <w:r w:rsidRPr="00674836">
        <w:rPr>
          <w:sz w:val="22"/>
        </w:rPr>
        <w:t>% αντίστοιχα, σύμφωνα με τη μεθοδολογία ενισχ</w:t>
      </w:r>
      <w:r w:rsidRPr="00674836">
        <w:rPr>
          <w:sz w:val="22"/>
        </w:rPr>
        <w:t>υ</w:t>
      </w:r>
      <w:r w:rsidRPr="00674836">
        <w:rPr>
          <w:sz w:val="22"/>
        </w:rPr>
        <w:t xml:space="preserve">μένης εποπτείας), έναντι του Προγράμματος Σταθερότητας 2019 (4,1% και 3,9%). </w:t>
      </w:r>
    </w:p>
    <w:p w:rsidR="00E0182E" w:rsidRPr="00674836" w:rsidRDefault="00E0182E" w:rsidP="00E0182E">
      <w:pPr>
        <w:jc w:val="both"/>
        <w:rPr>
          <w:sz w:val="22"/>
        </w:rPr>
      </w:pPr>
    </w:p>
    <w:p w:rsidR="00E0182E" w:rsidRDefault="00E0182E" w:rsidP="00E0182E">
      <w:pPr>
        <w:ind w:right="-58"/>
        <w:jc w:val="both"/>
        <w:rPr>
          <w:sz w:val="22"/>
        </w:rPr>
      </w:pPr>
      <w:r w:rsidRPr="00674836">
        <w:rPr>
          <w:sz w:val="22"/>
        </w:rPr>
        <w:t>Με βάση όλα τα παραπάνω, γίνεται σαφές ότι η ελληνική οικονομία έχει πλέον εισέλθει σε μία περί</w:t>
      </w:r>
      <w:r w:rsidRPr="00674836">
        <w:rPr>
          <w:sz w:val="22"/>
        </w:rPr>
        <w:t>ο</w:t>
      </w:r>
      <w:r w:rsidRPr="00674836">
        <w:rPr>
          <w:sz w:val="22"/>
        </w:rPr>
        <w:t>δο ευνοϊκών συνθηκών ανάπτυξης, δημιουργώντας τις προϋποθέσεις για την ενίσχυση του επιχειρημ</w:t>
      </w:r>
      <w:r w:rsidRPr="00674836">
        <w:rPr>
          <w:sz w:val="22"/>
        </w:rPr>
        <w:t>α</w:t>
      </w:r>
      <w:r w:rsidRPr="00674836">
        <w:rPr>
          <w:sz w:val="22"/>
        </w:rPr>
        <w:t>τικού περιβάλλοντος, του ανταγωνισμού και της ολικής παραγωγικότητας, μέσω του νέου μίγματος πολιτικών, και ειδικότερα:</w:t>
      </w:r>
    </w:p>
    <w:p w:rsidR="00216521" w:rsidRDefault="00216521" w:rsidP="00E0182E">
      <w:pPr>
        <w:ind w:right="-58"/>
        <w:jc w:val="both"/>
        <w:rPr>
          <w:sz w:val="22"/>
        </w:rPr>
      </w:pPr>
    </w:p>
    <w:p w:rsidR="00216521" w:rsidRDefault="00216521" w:rsidP="00EF3E19">
      <w:pPr>
        <w:pStyle w:val="af2"/>
        <w:numPr>
          <w:ilvl w:val="0"/>
          <w:numId w:val="9"/>
        </w:numPr>
        <w:spacing w:after="0" w:line="240" w:lineRule="auto"/>
        <w:ind w:left="284" w:right="-58" w:hanging="284"/>
        <w:jc w:val="both"/>
        <w:rPr>
          <w:rFonts w:ascii="Times New Roman" w:hAnsi="Times New Roman"/>
        </w:rPr>
      </w:pPr>
      <w:r>
        <w:rPr>
          <w:rFonts w:ascii="Times New Roman" w:hAnsi="Times New Roman"/>
        </w:rPr>
        <w:t>των μέτρων ελάφρυνσης των φορολογικών βαρών επιχειρήσεων και νοικοκυριών,</w:t>
      </w:r>
    </w:p>
    <w:p w:rsidR="00E0182E" w:rsidRDefault="00E0182E" w:rsidP="00EF3E19">
      <w:pPr>
        <w:pStyle w:val="af2"/>
        <w:numPr>
          <w:ilvl w:val="0"/>
          <w:numId w:val="9"/>
        </w:numPr>
        <w:spacing w:after="0" w:line="240" w:lineRule="auto"/>
        <w:ind w:left="284" w:right="-58" w:hanging="284"/>
        <w:jc w:val="both"/>
        <w:rPr>
          <w:rFonts w:ascii="Times New Roman" w:hAnsi="Times New Roman"/>
        </w:rPr>
      </w:pPr>
      <w:r w:rsidRPr="00EF3E19">
        <w:rPr>
          <w:rFonts w:ascii="Times New Roman" w:hAnsi="Times New Roman"/>
        </w:rPr>
        <w:t xml:space="preserve">του νέου αναπτυξιακού νόμου, </w:t>
      </w:r>
    </w:p>
    <w:p w:rsidR="00E0182E" w:rsidRPr="00EF3E19" w:rsidRDefault="00E0182E" w:rsidP="00EF3E19">
      <w:pPr>
        <w:pStyle w:val="af2"/>
        <w:numPr>
          <w:ilvl w:val="0"/>
          <w:numId w:val="9"/>
        </w:numPr>
        <w:spacing w:after="0" w:line="240" w:lineRule="auto"/>
        <w:ind w:left="284" w:right="-58" w:hanging="284"/>
        <w:jc w:val="both"/>
        <w:rPr>
          <w:rFonts w:ascii="Times New Roman" w:hAnsi="Times New Roman"/>
        </w:rPr>
      </w:pPr>
      <w:r w:rsidRPr="00EF3E19">
        <w:rPr>
          <w:rFonts w:ascii="Times New Roman" w:hAnsi="Times New Roman"/>
        </w:rPr>
        <w:t>του σχεδίου «Ηρακλής» για τη στήριξη της μείωσης των μη εξυπηρετούμενων δανείων των ελλην</w:t>
      </w:r>
      <w:r w:rsidRPr="00EF3E19">
        <w:rPr>
          <w:rFonts w:ascii="Times New Roman" w:hAnsi="Times New Roman"/>
        </w:rPr>
        <w:t>ι</w:t>
      </w:r>
      <w:r w:rsidRPr="00EF3E19">
        <w:rPr>
          <w:rFonts w:ascii="Times New Roman" w:hAnsi="Times New Roman"/>
        </w:rPr>
        <w:t>κών τραπεζών,</w:t>
      </w:r>
    </w:p>
    <w:p w:rsidR="00E0182E" w:rsidRPr="00EF3E19" w:rsidRDefault="00E0182E" w:rsidP="00EF3E19">
      <w:pPr>
        <w:pStyle w:val="af2"/>
        <w:numPr>
          <w:ilvl w:val="0"/>
          <w:numId w:val="9"/>
        </w:numPr>
        <w:spacing w:after="0" w:line="240" w:lineRule="auto"/>
        <w:ind w:left="284" w:right="-58" w:hanging="284"/>
        <w:jc w:val="both"/>
        <w:rPr>
          <w:rFonts w:ascii="Times New Roman" w:hAnsi="Times New Roman"/>
        </w:rPr>
      </w:pPr>
      <w:r w:rsidRPr="00EF3E19">
        <w:rPr>
          <w:rFonts w:ascii="Times New Roman" w:hAnsi="Times New Roman"/>
        </w:rPr>
        <w:t>των μέτρων για τη βελτίωση της πληθυσμιακής τάσης στη χώρα,</w:t>
      </w:r>
    </w:p>
    <w:p w:rsidR="00E0182E" w:rsidRPr="00EF3E19" w:rsidRDefault="00E0182E" w:rsidP="00EF3E19">
      <w:pPr>
        <w:pStyle w:val="af2"/>
        <w:numPr>
          <w:ilvl w:val="0"/>
          <w:numId w:val="9"/>
        </w:numPr>
        <w:spacing w:after="0" w:line="240" w:lineRule="auto"/>
        <w:ind w:left="284" w:right="-58" w:hanging="284"/>
        <w:jc w:val="both"/>
        <w:rPr>
          <w:rFonts w:ascii="Times New Roman" w:hAnsi="Times New Roman"/>
        </w:rPr>
      </w:pPr>
      <w:r w:rsidRPr="00EF3E19">
        <w:rPr>
          <w:rFonts w:ascii="Times New Roman" w:hAnsi="Times New Roman"/>
        </w:rPr>
        <w:t>των μέτρων για την καταπολέμηση της αδήλωτης εργασίας και την καλύτερη σύνδεση των μισθών με την παραγωγικότητα,</w:t>
      </w:r>
    </w:p>
    <w:p w:rsidR="00E0182E" w:rsidRPr="00EF3E19" w:rsidRDefault="00E0182E" w:rsidP="00EF3E19">
      <w:pPr>
        <w:pStyle w:val="af2"/>
        <w:numPr>
          <w:ilvl w:val="0"/>
          <w:numId w:val="9"/>
        </w:numPr>
        <w:spacing w:after="0" w:line="240" w:lineRule="auto"/>
        <w:ind w:left="284" w:right="-58" w:hanging="284"/>
        <w:jc w:val="both"/>
        <w:rPr>
          <w:rFonts w:ascii="Times New Roman" w:hAnsi="Times New Roman"/>
        </w:rPr>
      </w:pPr>
      <w:r w:rsidRPr="00EF3E19">
        <w:rPr>
          <w:rFonts w:ascii="Times New Roman" w:hAnsi="Times New Roman"/>
        </w:rPr>
        <w:t>των μέτρων αποτελεσματικότερης διαχεί</w:t>
      </w:r>
      <w:r w:rsidR="00EF3E19">
        <w:rPr>
          <w:rFonts w:ascii="Times New Roman" w:hAnsi="Times New Roman"/>
        </w:rPr>
        <w:t>ρισης των δημοσιονομικών εσόδων</w:t>
      </w:r>
      <w:r w:rsidR="00811576">
        <w:rPr>
          <w:rFonts w:ascii="Times New Roman" w:hAnsi="Times New Roman"/>
        </w:rPr>
        <w:t>,</w:t>
      </w:r>
      <w:r w:rsidRPr="00EF3E19">
        <w:rPr>
          <w:rFonts w:ascii="Times New Roman" w:hAnsi="Times New Roman"/>
        </w:rPr>
        <w:t xml:space="preserve"> και</w:t>
      </w:r>
    </w:p>
    <w:p w:rsidR="00E0182E" w:rsidRPr="00EF3E19" w:rsidRDefault="00E0182E" w:rsidP="00EF3E19">
      <w:pPr>
        <w:pStyle w:val="af2"/>
        <w:numPr>
          <w:ilvl w:val="0"/>
          <w:numId w:val="9"/>
        </w:numPr>
        <w:spacing w:after="0" w:line="240" w:lineRule="auto"/>
        <w:ind w:left="284" w:right="-58" w:hanging="284"/>
        <w:jc w:val="both"/>
        <w:rPr>
          <w:rFonts w:ascii="Times New Roman" w:hAnsi="Times New Roman"/>
        </w:rPr>
      </w:pPr>
      <w:r w:rsidRPr="00EF3E19">
        <w:rPr>
          <w:rFonts w:ascii="Times New Roman" w:hAnsi="Times New Roman"/>
        </w:rPr>
        <w:t xml:space="preserve">των μέτρων για τη </w:t>
      </w:r>
      <w:r w:rsidRPr="00EF3E19">
        <w:rPr>
          <w:rFonts w:ascii="Times New Roman" w:hAnsi="Times New Roman"/>
          <w:bCs/>
        </w:rPr>
        <w:t>μεταφορά πόρων από δραστηριότητες της παραοικονομίας στον επίσημο τομέα της οικονομίας.</w:t>
      </w:r>
    </w:p>
    <w:p w:rsidR="00E0182E" w:rsidRPr="00AE108C" w:rsidRDefault="00E0182E" w:rsidP="00E0182E">
      <w:pPr>
        <w:ind w:right="-58"/>
        <w:jc w:val="both"/>
        <w:rPr>
          <w:szCs w:val="22"/>
        </w:rPr>
      </w:pPr>
    </w:p>
    <w:p w:rsidR="00E0182E" w:rsidRPr="00FA79B9" w:rsidRDefault="00E0182E" w:rsidP="00E0182E">
      <w:pPr>
        <w:jc w:val="both"/>
        <w:rPr>
          <w:rFonts w:ascii="Arial Narrow" w:hAnsi="Arial Narrow"/>
          <w:b/>
          <w:color w:val="000080"/>
          <w:szCs w:val="22"/>
        </w:rPr>
      </w:pPr>
      <w:r w:rsidRPr="002C2FD1">
        <w:rPr>
          <w:rFonts w:ascii="Arial Narrow" w:hAnsi="Arial Narrow"/>
          <w:b/>
          <w:color w:val="000080"/>
          <w:szCs w:val="22"/>
        </w:rPr>
        <w:t>2.2</w:t>
      </w:r>
      <w:r w:rsidRPr="002C2FD1">
        <w:rPr>
          <w:rFonts w:ascii="Arial Narrow" w:hAnsi="Arial Narrow"/>
          <w:b/>
          <w:color w:val="000080"/>
          <w:szCs w:val="22"/>
        </w:rPr>
        <w:tab/>
      </w:r>
      <w:r>
        <w:rPr>
          <w:rFonts w:ascii="Arial Narrow" w:hAnsi="Arial Narrow"/>
          <w:b/>
          <w:color w:val="000080"/>
          <w:szCs w:val="22"/>
        </w:rPr>
        <w:t>Οι ε</w:t>
      </w:r>
      <w:r w:rsidRPr="001C42B5">
        <w:rPr>
          <w:rFonts w:ascii="Arial Narrow" w:hAnsi="Arial Narrow"/>
          <w:b/>
          <w:color w:val="000080"/>
          <w:szCs w:val="22"/>
        </w:rPr>
        <w:t>ξελίξεις το 201</w:t>
      </w:r>
      <w:r w:rsidRPr="00FA79B9">
        <w:rPr>
          <w:rFonts w:ascii="Arial Narrow" w:hAnsi="Arial Narrow"/>
          <w:b/>
          <w:color w:val="000080"/>
          <w:szCs w:val="22"/>
        </w:rPr>
        <w:t>8</w:t>
      </w:r>
    </w:p>
    <w:p w:rsidR="00E0182E" w:rsidRPr="00FA79B9" w:rsidRDefault="00E0182E" w:rsidP="00E0182E">
      <w:pPr>
        <w:pStyle w:val="a0"/>
        <w:tabs>
          <w:tab w:val="left" w:pos="426"/>
        </w:tabs>
        <w:ind w:right="-2"/>
      </w:pPr>
    </w:p>
    <w:p w:rsidR="00E0182E" w:rsidRPr="00674836" w:rsidRDefault="00E0182E" w:rsidP="00E0182E">
      <w:pPr>
        <w:ind w:right="-58"/>
        <w:jc w:val="both"/>
        <w:rPr>
          <w:sz w:val="22"/>
        </w:rPr>
      </w:pPr>
      <w:r w:rsidRPr="00674836">
        <w:rPr>
          <w:sz w:val="22"/>
        </w:rPr>
        <w:t xml:space="preserve">Την περίοδο 2017-2018, καταγράφηκαν θετικοί αλλά </w:t>
      </w:r>
      <w:r w:rsidR="00216521">
        <w:rPr>
          <w:sz w:val="22"/>
        </w:rPr>
        <w:t>χαμηλότεροι των προβλεπομένων στον προϋπ</w:t>
      </w:r>
      <w:r w:rsidR="00216521">
        <w:rPr>
          <w:sz w:val="22"/>
        </w:rPr>
        <w:t>ο</w:t>
      </w:r>
      <w:r w:rsidR="00216521">
        <w:rPr>
          <w:sz w:val="22"/>
        </w:rPr>
        <w:t xml:space="preserve">λογισμό </w:t>
      </w:r>
      <w:r w:rsidRPr="00674836">
        <w:rPr>
          <w:sz w:val="22"/>
        </w:rPr>
        <w:t>ετήσιοι ρυθμοί ανάπτυξης στην Ελλάδα (1,7% κατά μέσο όρο</w:t>
      </w:r>
      <w:r w:rsidR="00216521">
        <w:rPr>
          <w:sz w:val="22"/>
        </w:rPr>
        <w:t xml:space="preserve"> έναντι 2,6% που προβλέπονταν στους προϋπολογισμούς των αντίστοιχων ετών</w:t>
      </w:r>
      <w:r w:rsidRPr="00674836">
        <w:rPr>
          <w:sz w:val="22"/>
        </w:rPr>
        <w:t xml:space="preserve">), έπειτα από τη νέα ύφεση των ετών 2015-2016. Η </w:t>
      </w:r>
      <w:r w:rsidRPr="00674836">
        <w:rPr>
          <w:sz w:val="22"/>
        </w:rPr>
        <w:t>α</w:t>
      </w:r>
      <w:r w:rsidRPr="00674836">
        <w:rPr>
          <w:sz w:val="22"/>
        </w:rPr>
        <w:t>σθενής δυναμική της ανάπτυξης την εν λόγω περίοδο αντανακλά τους περιορισμούς ως προς την άρση της αβεβαιότητας, οι οποίοι συνδέθηκαν με καθυστερήσεις και κινδύνους απόκλισης από την συμφ</w:t>
      </w:r>
      <w:r w:rsidRPr="00674836">
        <w:rPr>
          <w:sz w:val="22"/>
        </w:rPr>
        <w:t>ω</w:t>
      </w:r>
      <w:r w:rsidRPr="00674836">
        <w:rPr>
          <w:sz w:val="22"/>
        </w:rPr>
        <w:t>νημένη οικονομική πολιτική στο πλαίσιο του τρίτου προγράμματος οικονομικής προσαρμογής. Ως εκ τούτου, οι εν λόγω ρυθμοί ανάκαμψης ήταν χαμηλότεροι από τους αντίστοιχους ρυθμούς άλλων κρ</w:t>
      </w:r>
      <w:r w:rsidRPr="00674836">
        <w:rPr>
          <w:sz w:val="22"/>
        </w:rPr>
        <w:t>α</w:t>
      </w:r>
      <w:r w:rsidRPr="00674836">
        <w:rPr>
          <w:sz w:val="22"/>
        </w:rPr>
        <w:t>τών-μελών της ευρωζώνης την πρώτη διετία ανάκαμψής τους μετά τη χορήγηση χρηματοδοτικής στ</w:t>
      </w:r>
      <w:r w:rsidRPr="00674836">
        <w:rPr>
          <w:sz w:val="22"/>
        </w:rPr>
        <w:t>ή</w:t>
      </w:r>
      <w:r w:rsidRPr="00674836">
        <w:rPr>
          <w:sz w:val="22"/>
        </w:rPr>
        <w:t>ριξης</w:t>
      </w:r>
      <w:r w:rsidRPr="00674836">
        <w:rPr>
          <w:sz w:val="22"/>
          <w:vertAlign w:val="superscript"/>
        </w:rPr>
        <w:footnoteReference w:id="23"/>
      </w:r>
      <w:r w:rsidRPr="00674836">
        <w:rPr>
          <w:sz w:val="22"/>
        </w:rPr>
        <w:t xml:space="preserve">. </w:t>
      </w:r>
    </w:p>
    <w:p w:rsidR="00E0182E" w:rsidRPr="00674836" w:rsidRDefault="00E0182E" w:rsidP="00E0182E">
      <w:pPr>
        <w:ind w:right="-58"/>
        <w:jc w:val="both"/>
        <w:rPr>
          <w:sz w:val="22"/>
        </w:rPr>
      </w:pPr>
    </w:p>
    <w:p w:rsidR="00E0182E" w:rsidRPr="00674836" w:rsidRDefault="00E0182E" w:rsidP="00E0182E">
      <w:pPr>
        <w:jc w:val="both"/>
        <w:rPr>
          <w:sz w:val="22"/>
        </w:rPr>
      </w:pPr>
      <w:r w:rsidRPr="00674836">
        <w:rPr>
          <w:sz w:val="22"/>
        </w:rPr>
        <w:lastRenderedPageBreak/>
        <w:t>Το 2018, το πραγματικό ΑΕΠ αυξήθηκε κατά 1,9%, έναντι πρόβλεψης για ανάπτυξη 2,5% στην εισ</w:t>
      </w:r>
      <w:r w:rsidRPr="00674836">
        <w:rPr>
          <w:sz w:val="22"/>
        </w:rPr>
        <w:t>η</w:t>
      </w:r>
      <w:r w:rsidRPr="00674836">
        <w:rPr>
          <w:sz w:val="22"/>
        </w:rPr>
        <w:t>γητική έκθεση του Κρατικού Προϋπολογισμού του αντίστοιχου έτους, και εκτίμησης 2,1% στον Κρ</w:t>
      </w:r>
      <w:r w:rsidRPr="00674836">
        <w:rPr>
          <w:sz w:val="22"/>
        </w:rPr>
        <w:t>α</w:t>
      </w:r>
      <w:r w:rsidRPr="00674836">
        <w:rPr>
          <w:sz w:val="22"/>
        </w:rPr>
        <w:t>τικό Προϋπολογισμό του 2019. Ως κινητήριοι μοχλοί της ανάκαμψης καταγράφηκαν αφενός η ιδιωτ</w:t>
      </w:r>
      <w:r w:rsidRPr="00674836">
        <w:rPr>
          <w:sz w:val="22"/>
        </w:rPr>
        <w:t>ι</w:t>
      </w:r>
      <w:r w:rsidRPr="00674836">
        <w:rPr>
          <w:sz w:val="22"/>
        </w:rPr>
        <w:t>κή κατανάλωση, που ενδυναμώθηκε εν μέσω θετικών εξελίξεων στην απασχόληση και τον ρυθμό α</w:t>
      </w:r>
      <w:r w:rsidRPr="00674836">
        <w:rPr>
          <w:sz w:val="22"/>
        </w:rPr>
        <w:t>ύ</w:t>
      </w:r>
      <w:r w:rsidRPr="00674836">
        <w:rPr>
          <w:sz w:val="22"/>
        </w:rPr>
        <w:t>ξησης των μισθών, και αφετέρου το τότε ευνοϊκό εξωτερικό περιβάλλον, που έδωσε περαιτέρω ώθηση στις εξαγωγές αγαθών και υπηρεσιών. Επιπλέον, σημαντική συμβολή στην ανάπτυξη είχε η δημιου</w:t>
      </w:r>
      <w:r w:rsidRPr="00674836">
        <w:rPr>
          <w:sz w:val="22"/>
        </w:rPr>
        <w:t>ρ</w:t>
      </w:r>
      <w:r w:rsidRPr="00674836">
        <w:rPr>
          <w:sz w:val="22"/>
        </w:rPr>
        <w:t xml:space="preserve">γία αποθεμάτων στην οικονομία, η οποία ανήλθε σε 0,8 ποσοστιαίες μονάδες του πραγματικού ΑΕΠ, έναντι ανάλωσης αποθεμάτων ύψους 1,0% του ΑΕΠ το 2017. </w:t>
      </w:r>
    </w:p>
    <w:p w:rsidR="00E0182E" w:rsidRPr="00674836" w:rsidRDefault="00E0182E" w:rsidP="00E0182E">
      <w:pPr>
        <w:ind w:right="-58"/>
        <w:jc w:val="both"/>
        <w:rPr>
          <w:sz w:val="22"/>
        </w:rPr>
      </w:pPr>
    </w:p>
    <w:p w:rsidR="00E0182E" w:rsidRPr="00674836" w:rsidRDefault="00E0182E" w:rsidP="00E0182E">
      <w:pPr>
        <w:jc w:val="both"/>
        <w:rPr>
          <w:sz w:val="22"/>
        </w:rPr>
      </w:pPr>
      <w:r w:rsidRPr="00674836">
        <w:rPr>
          <w:sz w:val="22"/>
        </w:rPr>
        <w:t>Η απόκλιση του τελικώς καταγεγραμμένου ετήσιου πραγματικού ΑΕΠ από τις προηγούμενες εκτιμ</w:t>
      </w:r>
      <w:r w:rsidRPr="00674836">
        <w:rPr>
          <w:sz w:val="22"/>
        </w:rPr>
        <w:t>ή</w:t>
      </w:r>
      <w:r w:rsidRPr="00674836">
        <w:rPr>
          <w:sz w:val="22"/>
        </w:rPr>
        <w:t>σεις αντανακλά την υποχώρηση του ΑΕΠ στο τέταρτο τρίμηνο του 2018, κυρίως λόγω της συρρίκν</w:t>
      </w:r>
      <w:r w:rsidRPr="00674836">
        <w:rPr>
          <w:sz w:val="22"/>
        </w:rPr>
        <w:t>ω</w:t>
      </w:r>
      <w:r w:rsidRPr="00674836">
        <w:rPr>
          <w:sz w:val="22"/>
        </w:rPr>
        <w:t>σης του όγκου των συνολικών επενδύσεων για δεύτερο συνεχές τρίμηνο (κατά 24,7% συνολικά στο δεύτερο εξάμηνο του 2018 έναντι της αντίστοιχης περιόδου του 2017). Στο σύνολο του έτους, η χε</w:t>
      </w:r>
      <w:r w:rsidRPr="00674836">
        <w:rPr>
          <w:sz w:val="22"/>
        </w:rPr>
        <w:t>ι</w:t>
      </w:r>
      <w:r w:rsidRPr="00674836">
        <w:rPr>
          <w:sz w:val="22"/>
        </w:rPr>
        <w:t>ροτέρευση των συνολικών επενδύσεων άγγιξε το 12,2% έναντι του 2017. Το σημαντικό μέγεθος της μείωσης επανέφερε τον όγκο των επενδύσεων στο επίπεδο του 2015. Η χειροτέρευση προήλθε από τη μείωση του όγκου των επενδύσεων σε κατασκευές πλην κατοικιών (-45,5% στο δεύτερο εξάμηνο του 2018 έναντι της αντίστοιχης περιόδου του 2017), και από τη μείωση επενδύσεων σε μεταφορικό εξ</w:t>
      </w:r>
      <w:r w:rsidRPr="00674836">
        <w:rPr>
          <w:sz w:val="22"/>
        </w:rPr>
        <w:t>ο</w:t>
      </w:r>
      <w:r w:rsidRPr="00674836">
        <w:rPr>
          <w:sz w:val="22"/>
        </w:rPr>
        <w:t xml:space="preserve">πλισμό (-38,4% στο σύνολο του 2018 και -72,3% στο τελευταίο τρίμηνο του 2018).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Από την άλλη πλευρά, η πραγματική ιδιωτική κατανάλωση</w:t>
      </w:r>
      <w:r w:rsidRPr="00674836">
        <w:rPr>
          <w:b/>
          <w:sz w:val="22"/>
        </w:rPr>
        <w:t xml:space="preserve"> </w:t>
      </w:r>
      <w:r w:rsidRPr="00674836">
        <w:rPr>
          <w:sz w:val="22"/>
        </w:rPr>
        <w:t>αυξήθηκε κατά 1,1%, έναντι αύξησης 0,9% το 2017. Στην ενδυνάμωσή της συνέβαλαν οι θετικοί ρυθμοί μεταβολής της απασχόλησης (1,7%), και του μέσου μισθού (1,3%), παρά τη συνεχιζόμενη υποχώρηση της καταναλωτικής πίστης (-0,8%)</w:t>
      </w:r>
      <w:r w:rsidRPr="00674836">
        <w:rPr>
          <w:rStyle w:val="a9"/>
          <w:sz w:val="22"/>
        </w:rPr>
        <w:footnoteReference w:id="24"/>
      </w:r>
      <w:r w:rsidRPr="00674836">
        <w:rPr>
          <w:sz w:val="22"/>
        </w:rPr>
        <w:t>. Οι ως άνω εξελίξεις ώθησαν τις αμοιβές εξαρτημένης εργασίας στο σύνολο της οικονομίας σε αύξηση κατά 3,6% σε ετήσια βάση, και το διαθέσιμο εισόδημα των νοικοκυριών σε αύξηση κατά 2,7% αντίστοιχα, αυξάνοντας ωστόσο και το πραγματικό μοναδιαίο κόστος εργασίας με ρυθμό ταχ</w:t>
      </w:r>
      <w:r w:rsidRPr="00674836">
        <w:rPr>
          <w:sz w:val="22"/>
        </w:rPr>
        <w:t>ύ</w:t>
      </w:r>
      <w:r w:rsidRPr="00674836">
        <w:rPr>
          <w:sz w:val="22"/>
        </w:rPr>
        <w:t xml:space="preserve">τερο από την αύξηση της παραγωγικότητας εργασίας. Πάντως, ο όγκος της συνολικής (ιδιωτικής και δημόσιας) καταναλωτικής δαπάνης κατέγραψε οριακή μόνο αύξηση έναντι του 2017 (0,2%), λόγω της συρρίκνωσης της πραγματικής δημόσιας κατανάλωσης κατά 2,5%.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Δεδομένης της αρνητικής πορείας των συνιστωσών της εγχώριας ζήτησης, το 2018 ο κύριος προσδι</w:t>
      </w:r>
      <w:r w:rsidRPr="00674836">
        <w:rPr>
          <w:sz w:val="22"/>
        </w:rPr>
        <w:t>ο</w:t>
      </w:r>
      <w:r w:rsidRPr="00674836">
        <w:rPr>
          <w:sz w:val="22"/>
        </w:rPr>
        <w:t xml:space="preserve">ριστικός παράγοντας της ανάπτυξης ήταν ο εξωτερικός τομέας, με τη συμβολή του </w:t>
      </w:r>
      <w:r w:rsidR="003B55C3">
        <w:rPr>
          <w:sz w:val="22"/>
        </w:rPr>
        <w:t xml:space="preserve">να ανέρχεται </w:t>
      </w:r>
      <w:r w:rsidRPr="00674836">
        <w:rPr>
          <w:sz w:val="22"/>
        </w:rPr>
        <w:t>σε 1,3% του πραγματικού ΑΕΠ. Αυτό υποδηλώνει τη συνέχιση της ταχύτερης αύξησης εξαγωγών αγ</w:t>
      </w:r>
      <w:r w:rsidRPr="00674836">
        <w:rPr>
          <w:sz w:val="22"/>
        </w:rPr>
        <w:t>α</w:t>
      </w:r>
      <w:r w:rsidRPr="00674836">
        <w:rPr>
          <w:sz w:val="22"/>
        </w:rPr>
        <w:t>θών και υπηρεσιών (+8,7% σε ετήσια βάση) έναντι των εισαγωγών αγαθών και υπηρεσιών (+4,2% αντίστοιχα), εξέλιξη στην οποία επέδρασε σημαντικά η συρρίκνωση των επενδύσεων σε εξοπλισμό.</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Δεδομένων των ανωτέρω, για το 2018 εκτιμάται</w:t>
      </w:r>
      <w:r w:rsidRPr="00674836">
        <w:rPr>
          <w:rStyle w:val="a9"/>
          <w:sz w:val="22"/>
        </w:rPr>
        <w:footnoteReference w:id="25"/>
      </w:r>
      <w:r w:rsidRPr="00674836">
        <w:rPr>
          <w:sz w:val="22"/>
        </w:rPr>
        <w:t xml:space="preserve"> βελτίωση στο ονομαστικό ισοζύγιο τρεχουσών σ</w:t>
      </w:r>
      <w:r w:rsidRPr="00674836">
        <w:rPr>
          <w:sz w:val="22"/>
        </w:rPr>
        <w:t>υ</w:t>
      </w:r>
      <w:r w:rsidRPr="00674836">
        <w:rPr>
          <w:sz w:val="22"/>
        </w:rPr>
        <w:t>ναλλαγών σε εθνικολογιστική βάση, στο -0,4% του ΑΕΠ από -1,1% του ΑΕΠ το 2017. Ωστόσο, με βάση τα αναθεωρημένα στοιχεία Ισοζυγίου Πληρωμών της Τράπεζας της Ελλάδος, καταδεικνύεται για το ίδιο έτος επιδείνωση του ελλείμματος του ισοζυγίου τρεχουσών συναλλαγών κατά 1,8 δισ. ε</w:t>
      </w:r>
      <w:r w:rsidRPr="00674836">
        <w:rPr>
          <w:sz w:val="22"/>
        </w:rPr>
        <w:t>υ</w:t>
      </w:r>
      <w:r w:rsidRPr="00674836">
        <w:rPr>
          <w:sz w:val="22"/>
        </w:rPr>
        <w:t>ρώ. Η εν λόγω επιδείνωση αποδίδεται κυρίως στη χειροτέρευση του ελλείμματος αγαθών (κατά 2,7 δισ. ευρώ έναντι του 2017), λόγω της μεγαλύτερης αύξησης των εισαγωγών αγαθών έναντι της αύξ</w:t>
      </w:r>
      <w:r w:rsidRPr="00674836">
        <w:rPr>
          <w:sz w:val="22"/>
        </w:rPr>
        <w:t>η</w:t>
      </w:r>
      <w:r w:rsidRPr="00674836">
        <w:rPr>
          <w:sz w:val="22"/>
        </w:rPr>
        <w:t>σης των εξαγωγών αγαθών (κατά 7 δισ. ευρώ έναντι 4,3 δισ. ευρώ αντιστοίχως). Δευτερευόντως, χε</w:t>
      </w:r>
      <w:r w:rsidRPr="00674836">
        <w:rPr>
          <w:sz w:val="22"/>
        </w:rPr>
        <w:t>ι</w:t>
      </w:r>
      <w:r w:rsidRPr="00674836">
        <w:rPr>
          <w:sz w:val="22"/>
        </w:rPr>
        <w:t>ροτέρευση καταγράφηκε στο ισοζύγιο πρωτογενών εισοδημάτων (κατά 0,7 δισ. ευρώ έναντι του 2017), εν μέσω μείωσης εισπράξεων και αύξησης πληρωμών από επενδύσεις. Τις εξελίξεις αυτές μόνο εν μέρει αντιστάθμισε η περαιτέρω αύξηση του πλεονάσματος στο ισοζύγιο υπηρεσιών το 2018 (κατά 1,3 δισ. ευρώ έναντι του 2017), και η μείωση του ελλείμματος στο ισοζύγιο δευτερογενών εισοδημ</w:t>
      </w:r>
      <w:r w:rsidRPr="00674836">
        <w:rPr>
          <w:sz w:val="22"/>
        </w:rPr>
        <w:t>ά</w:t>
      </w:r>
      <w:r w:rsidRPr="00674836">
        <w:rPr>
          <w:sz w:val="22"/>
        </w:rPr>
        <w:t xml:space="preserve">των κατά 0,2 δισ. ευρώ, λόγω αυξημένων καθαρών εισπράξεων της Γενικής Κυβέρνησης. </w:t>
      </w:r>
    </w:p>
    <w:p w:rsidR="00E0182E" w:rsidRPr="00674836" w:rsidRDefault="00E0182E" w:rsidP="00E0182E">
      <w:pPr>
        <w:jc w:val="both"/>
        <w:rPr>
          <w:sz w:val="22"/>
        </w:rPr>
      </w:pPr>
    </w:p>
    <w:p w:rsidR="00E0182E" w:rsidRPr="00674836" w:rsidRDefault="00E0182E" w:rsidP="00E0182E">
      <w:pPr>
        <w:autoSpaceDE w:val="0"/>
        <w:autoSpaceDN w:val="0"/>
        <w:adjustRightInd w:val="0"/>
        <w:jc w:val="both"/>
        <w:rPr>
          <w:sz w:val="22"/>
        </w:rPr>
      </w:pPr>
      <w:r w:rsidRPr="00674836">
        <w:rPr>
          <w:sz w:val="22"/>
        </w:rPr>
        <w:t>Την ίδια στιγμή, σύμφωνα με την Έκθεση Νομισματικής Πολιτικής 2018-2019 της Τράπεζας της Ε</w:t>
      </w:r>
      <w:r w:rsidRPr="00674836">
        <w:rPr>
          <w:sz w:val="22"/>
        </w:rPr>
        <w:t>λ</w:t>
      </w:r>
      <w:r w:rsidRPr="00674836">
        <w:rPr>
          <w:sz w:val="22"/>
        </w:rPr>
        <w:t xml:space="preserve">λάδος, το 2018 η συνεχιζόμενη θετική (με χρονική υστέρηση) επίδραση στις εξαγωγές αγαθών από τη σωρευτική διόρθωση στις σχετικές τιμές τα προηγούμενα έτη, δεν εμπόδισε τη νέα υποχώρηση της </w:t>
      </w:r>
      <w:r w:rsidRPr="00674836">
        <w:rPr>
          <w:sz w:val="22"/>
        </w:rPr>
        <w:lastRenderedPageBreak/>
        <w:t>διεθνούς ανταγωνιστικότητας της ελληνικής οικονομίας, τόσο σε όρους σχετικών τιμών και κόστους εργασίας όσο και σε όρους διαρθρωτικούς. Σύμφωνα με τον ευρύ δείκτη πραγματικής σταθμισμένης συναλλαγματικής ισοτιμίας της Τράπεζας της Ελλάδος</w:t>
      </w:r>
      <w:r w:rsidRPr="00674836">
        <w:rPr>
          <w:rStyle w:val="a9"/>
          <w:sz w:val="22"/>
        </w:rPr>
        <w:footnoteReference w:id="26"/>
      </w:r>
      <w:r w:rsidRPr="00674836">
        <w:rPr>
          <w:sz w:val="22"/>
        </w:rPr>
        <w:t xml:space="preserve">, η διεθνής ανταγωνιστικότητα της Ελλάδας συνέχισε να χειροτερεύει για τρίτη διαδοχική χρονιά με βάση τις σχετικές τιμές καταναλωτή (κατά 0,6% έναντι του 2017), και για δεύτερη διαδοχική χρονιά με βάση το σχετικό κόστος εργασίας ανά μονάδα προϊόντος (κατά 0,4% έναντι του 2017).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Ο πληθωρισμός κινήθηκε θετικά αλλά μετριοπαθώς έναντι του 2017 (+0,8% βάσει Εν.ΔΤΚ έναντι +1,1% το 2017) παρά την εξωτερική επίδραση της αύξησης στις διεθνείς τιμές του πετρελαίου, κυρ</w:t>
      </w:r>
      <w:r w:rsidRPr="00674836">
        <w:rPr>
          <w:sz w:val="22"/>
        </w:rPr>
        <w:t>ί</w:t>
      </w:r>
      <w:r w:rsidRPr="00674836">
        <w:rPr>
          <w:sz w:val="22"/>
        </w:rPr>
        <w:t xml:space="preserve">ως λόγω της εξάντλησης της επίδρασης από τις αυξήσεις έμμεσων φόρων το 2017 και το δεύτερο </w:t>
      </w:r>
      <w:r w:rsidRPr="00674836">
        <w:rPr>
          <w:sz w:val="22"/>
        </w:rPr>
        <w:t>ε</w:t>
      </w:r>
      <w:r w:rsidRPr="00674836">
        <w:rPr>
          <w:sz w:val="22"/>
        </w:rPr>
        <w:t>ξάμηνο του 2016.</w:t>
      </w:r>
    </w:p>
    <w:p w:rsidR="00E0182E" w:rsidRPr="00BF2A67" w:rsidRDefault="00E0182E" w:rsidP="00E0182E">
      <w:pPr>
        <w:jc w:val="both"/>
      </w:pPr>
    </w:p>
    <w:p w:rsidR="00E0182E" w:rsidRPr="00FA79B9" w:rsidRDefault="00E0182E" w:rsidP="00E0182E">
      <w:pPr>
        <w:ind w:left="567" w:hanging="567"/>
        <w:jc w:val="both"/>
        <w:rPr>
          <w:rFonts w:ascii="Arial Narrow" w:hAnsi="Arial Narrow"/>
          <w:b/>
          <w:color w:val="000080"/>
          <w:szCs w:val="22"/>
        </w:rPr>
      </w:pPr>
      <w:r w:rsidRPr="006E219D">
        <w:rPr>
          <w:rFonts w:ascii="Arial Narrow" w:hAnsi="Arial Narrow"/>
          <w:b/>
          <w:color w:val="000080"/>
          <w:szCs w:val="22"/>
        </w:rPr>
        <w:t>2.3</w:t>
      </w:r>
      <w:r w:rsidRPr="006E219D">
        <w:rPr>
          <w:rFonts w:ascii="Arial Narrow" w:hAnsi="Arial Narrow"/>
          <w:b/>
          <w:color w:val="000080"/>
          <w:szCs w:val="22"/>
        </w:rPr>
        <w:tab/>
        <w:t>Οι εξ</w:t>
      </w:r>
      <w:r>
        <w:rPr>
          <w:rFonts w:ascii="Arial Narrow" w:hAnsi="Arial Narrow"/>
          <w:b/>
          <w:color w:val="000080"/>
          <w:szCs w:val="22"/>
        </w:rPr>
        <w:t>ελίξεις το 201</w:t>
      </w:r>
      <w:r w:rsidRPr="00FA79B9">
        <w:rPr>
          <w:rFonts w:ascii="Arial Narrow" w:hAnsi="Arial Narrow"/>
          <w:b/>
          <w:color w:val="000080"/>
          <w:szCs w:val="22"/>
        </w:rPr>
        <w:t>9</w:t>
      </w:r>
    </w:p>
    <w:p w:rsidR="00E0182E" w:rsidRPr="00AD40BF" w:rsidRDefault="00E0182E" w:rsidP="00E0182E">
      <w:pPr>
        <w:jc w:val="both"/>
        <w:rPr>
          <w:sz w:val="22"/>
          <w:szCs w:val="22"/>
        </w:rPr>
      </w:pPr>
    </w:p>
    <w:p w:rsidR="00E0182E" w:rsidRPr="009D21EE" w:rsidRDefault="00E0182E" w:rsidP="00E0182E">
      <w:pPr>
        <w:jc w:val="both"/>
        <w:rPr>
          <w:rFonts w:ascii="Arial Narrow" w:hAnsi="Arial Narrow"/>
          <w:b/>
          <w:bCs/>
          <w:i/>
          <w:sz w:val="22"/>
          <w:szCs w:val="22"/>
        </w:rPr>
      </w:pPr>
      <w:r w:rsidRPr="009D21EE">
        <w:rPr>
          <w:rFonts w:ascii="Arial Narrow" w:hAnsi="Arial Narrow"/>
          <w:b/>
          <w:bCs/>
          <w:i/>
          <w:sz w:val="22"/>
          <w:szCs w:val="22"/>
        </w:rPr>
        <w:t>Το ΑΕΠ και οι συνιστώσες του</w:t>
      </w:r>
    </w:p>
    <w:p w:rsidR="00E0182E" w:rsidRDefault="00E0182E" w:rsidP="00E0182E">
      <w:pPr>
        <w:pStyle w:val="a0"/>
        <w:tabs>
          <w:tab w:val="left" w:pos="426"/>
        </w:tabs>
        <w:ind w:right="-2"/>
      </w:pPr>
    </w:p>
    <w:p w:rsidR="00E0182E" w:rsidRPr="00674836" w:rsidRDefault="00216521" w:rsidP="00B77342">
      <w:pPr>
        <w:pStyle w:val="af2"/>
        <w:numPr>
          <w:ilvl w:val="0"/>
          <w:numId w:val="6"/>
        </w:numPr>
        <w:spacing w:after="0" w:line="240" w:lineRule="auto"/>
        <w:ind w:left="0" w:right="-57" w:firstLine="0"/>
        <w:contextualSpacing w:val="0"/>
        <w:jc w:val="both"/>
        <w:rPr>
          <w:rFonts w:ascii="Times New Roman" w:eastAsia="Times New Roman" w:hAnsi="Times New Roman"/>
          <w:szCs w:val="24"/>
          <w:lang w:eastAsia="el-GR"/>
        </w:rPr>
      </w:pPr>
      <w:r>
        <w:rPr>
          <w:rFonts w:ascii="Times New Roman" w:eastAsia="Times New Roman" w:hAnsi="Times New Roman"/>
          <w:szCs w:val="24"/>
          <w:lang w:eastAsia="el-GR"/>
        </w:rPr>
        <w:t xml:space="preserve">Η </w:t>
      </w:r>
      <w:r w:rsidR="00E0182E" w:rsidRPr="00674836">
        <w:rPr>
          <w:rFonts w:ascii="Times New Roman" w:eastAsia="Times New Roman" w:hAnsi="Times New Roman"/>
          <w:szCs w:val="24"/>
          <w:lang w:eastAsia="el-GR"/>
        </w:rPr>
        <w:t>σταδιακή επιτάχυνση της οικονομικής δραστηριότητας στη βάση του βελτιωμένου οικονομικού κλ</w:t>
      </w:r>
      <w:r w:rsidR="00E0182E" w:rsidRPr="00674836">
        <w:rPr>
          <w:rFonts w:ascii="Times New Roman" w:eastAsia="Times New Roman" w:hAnsi="Times New Roman"/>
          <w:szCs w:val="24"/>
          <w:lang w:eastAsia="el-GR"/>
        </w:rPr>
        <w:t>ί</w:t>
      </w:r>
      <w:r w:rsidR="00E0182E" w:rsidRPr="00674836">
        <w:rPr>
          <w:rFonts w:ascii="Times New Roman" w:eastAsia="Times New Roman" w:hAnsi="Times New Roman"/>
          <w:szCs w:val="24"/>
          <w:lang w:eastAsia="el-GR"/>
        </w:rPr>
        <w:t>ματος και της υλοποίησης των νέων, δημοσιονομικά επεκτατικών μέτρων από τα μέσα του 2019, αν</w:t>
      </w:r>
      <w:r w:rsidR="00E0182E" w:rsidRPr="00674836">
        <w:rPr>
          <w:rFonts w:ascii="Times New Roman" w:eastAsia="Times New Roman" w:hAnsi="Times New Roman"/>
          <w:szCs w:val="24"/>
          <w:lang w:eastAsia="el-GR"/>
        </w:rPr>
        <w:t>α</w:t>
      </w:r>
      <w:r w:rsidR="00E0182E" w:rsidRPr="00674836">
        <w:rPr>
          <w:rFonts w:ascii="Times New Roman" w:eastAsia="Times New Roman" w:hAnsi="Times New Roman"/>
          <w:szCs w:val="24"/>
          <w:lang w:eastAsia="el-GR"/>
        </w:rPr>
        <w:t xml:space="preserve">μένεται να φέρει την Ελλάδα σημαντικά πάνω από τον μέσο ετήσιο ρυθμό ανάπτυξης της Ευρωζώνης.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Το 2019, ο πραγματικός ρυθμός οικονομικής μεγέθυνσης εκτιμάται ότι θα ανέλθει σε 2,0%, οριακά υψηλότερα από τον ρυθμό του 2018. Έναντι της αντίστοιχης πρόβλεψης που είχε περιληφθεί στο Πρόγραμμα Σταθερότητας 2019 (Απρίλιος 2019), ο ετήσιος ρυθμός είναι αναθεωρημένος προς τα κ</w:t>
      </w:r>
      <w:r w:rsidRPr="00674836">
        <w:rPr>
          <w:sz w:val="22"/>
        </w:rPr>
        <w:t>ά</w:t>
      </w:r>
      <w:r w:rsidRPr="00674836">
        <w:rPr>
          <w:sz w:val="22"/>
        </w:rPr>
        <w:t>τω μόλις κατά 0,3 ποσοστιαίες μονάδες, παρά το ιδιαίτερα αρνητικό πρώτο τρίμηνο του έτους.</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Από την άλλη πλευρά, η προς τα πάνω αναθεώρηση της εκτιμώμενης πορείας των πραγματικών εισ</w:t>
      </w:r>
      <w:r w:rsidRPr="00674836">
        <w:rPr>
          <w:sz w:val="22"/>
        </w:rPr>
        <w:t>α</w:t>
      </w:r>
      <w:r w:rsidRPr="00674836">
        <w:rPr>
          <w:sz w:val="22"/>
        </w:rPr>
        <w:t xml:space="preserve">γωγών για το 2019 αντανακλά την αυξανόμενη δυναμική της εγχώριας οικονομίας.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 xml:space="preserve">Αντίθετα με το 2018, η ανάπτυξη αναμένεται να προέλθει από την εγχώρια ζήτηση, με την ανοδική πορεία όλων των συνιστωσών της τελευταίας να αντισταθμίζει σε μεγάλο βαθμό την επίδραση του </w:t>
      </w:r>
      <w:r w:rsidRPr="00674836">
        <w:rPr>
          <w:sz w:val="22"/>
        </w:rPr>
        <w:t>ε</w:t>
      </w:r>
      <w:r w:rsidRPr="00674836">
        <w:rPr>
          <w:sz w:val="22"/>
        </w:rPr>
        <w:t>πιβραδυμένου εξωτερικού οικονομικού περιβάλλοντος. Έναντι του Προγράμματος Σταθερότητας, οι αναθεωρημένες εκτιμήσεις των συνιστωσών της εγχώριας ζήτησης δείχνουν μεγαλύτερη συμβολή στην ανάπτυξη από τις επενδύσεις κατά 0,5% του ΑΕΠ, η οποία προβλέπεται να επιτευχθεί στο δε</w:t>
      </w:r>
      <w:r w:rsidRPr="00674836">
        <w:rPr>
          <w:sz w:val="22"/>
        </w:rPr>
        <w:t>ύ</w:t>
      </w:r>
      <w:r w:rsidRPr="00674836">
        <w:rPr>
          <w:sz w:val="22"/>
        </w:rPr>
        <w:t xml:space="preserve">τερο εξάμηνο του έτους και υπερκαλύπτει τη μείωση της συμβολής της ιδιωτικής κατανάλωσης κατά 0,3%.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Ο ρυθμός αύξησης της πραγματικής ιδιωτικής κατανάλωσης αναμένεται να επιβραδυνθεί τ</w:t>
      </w:r>
      <w:r w:rsidRPr="00674836">
        <w:rPr>
          <w:sz w:val="22"/>
          <w:lang w:val="en-US"/>
        </w:rPr>
        <w:t>o</w:t>
      </w:r>
      <w:r w:rsidRPr="00674836">
        <w:rPr>
          <w:sz w:val="22"/>
        </w:rPr>
        <w:t xml:space="preserve"> τρέχον έτος, σε 0,6%, παραμένοντας όμως θετικός στη βάση των συνεχιζόμενων θετικών εξελίξεων στην </w:t>
      </w:r>
      <w:r w:rsidRPr="00674836">
        <w:rPr>
          <w:sz w:val="22"/>
        </w:rPr>
        <w:t>α</w:t>
      </w:r>
      <w:r w:rsidRPr="00674836">
        <w:rPr>
          <w:sz w:val="22"/>
        </w:rPr>
        <w:t>γορά εργασίας και της ενίσχυσης του διαθέσιμου εισοδήματος των νοικοκυριών, από την αύξηση του κατώτατου μισθού</w:t>
      </w:r>
      <w:r w:rsidR="003B55C3">
        <w:rPr>
          <w:sz w:val="22"/>
        </w:rPr>
        <w:t>,</w:t>
      </w:r>
      <w:r w:rsidRPr="00674836">
        <w:rPr>
          <w:sz w:val="22"/>
        </w:rPr>
        <w:t xml:space="preserve"> καθώς και τα νέα δημοσιονομικά μέτρα του Μαΐου και του Αυγούστου 2019. Ο μέσος ρυθμός αύξησής της στο δεύτερο εξάμηνο του έτους αναμένεται ισχυρά θετικός (+1,3% έναντι της αντίστοιχης περιόδου του 2018) έπειτα από την οριακά αρνητική πορεία του πρώτου εξαμήνου (-0,1%), όπως ήδη διαφαίνεται από τα στοιχεία βραχυχρόνιων δεικτών Ιουλίου-Οκτωβρίου</w:t>
      </w:r>
      <w:r w:rsidRPr="00674836">
        <w:rPr>
          <w:rStyle w:val="a9"/>
          <w:sz w:val="22"/>
        </w:rPr>
        <w:footnoteReference w:id="27"/>
      </w:r>
      <w:r w:rsidRPr="00674836">
        <w:rPr>
          <w:sz w:val="22"/>
        </w:rPr>
        <w:t>. Ως κύριοι μοχλοί της επιτάχυνσης εκτιμώνται η ενισχυμένη πολιτική σταθερότητα και η ελάφρυνση του φορ</w:t>
      </w:r>
      <w:r w:rsidRPr="00674836">
        <w:rPr>
          <w:sz w:val="22"/>
        </w:rPr>
        <w:t>ο</w:t>
      </w:r>
      <w:r w:rsidRPr="00674836">
        <w:rPr>
          <w:sz w:val="22"/>
        </w:rPr>
        <w:t>λογικού βάρους των νοικοκυριών (μείωση ΕΝΦΙΑ, ρύθμιση ληξιπρόθεσμων οφειλών προς τη φορ</w:t>
      </w:r>
      <w:r w:rsidRPr="00674836">
        <w:rPr>
          <w:sz w:val="22"/>
        </w:rPr>
        <w:t>ο</w:t>
      </w:r>
      <w:r w:rsidRPr="00674836">
        <w:rPr>
          <w:sz w:val="22"/>
        </w:rPr>
        <w:t>λογική διοίκηση μέσω των αναμορφωμένων 120 δόσεων). Η πραγματική δημόσια κατανάλωση εκτ</w:t>
      </w:r>
      <w:r w:rsidRPr="00674836">
        <w:rPr>
          <w:sz w:val="22"/>
        </w:rPr>
        <w:t>ι</w:t>
      </w:r>
      <w:r w:rsidRPr="00674836">
        <w:rPr>
          <w:sz w:val="22"/>
        </w:rPr>
        <w:t xml:space="preserve">μάται ότι θα ανακάμψει κατά 1,6% έναντι της σημαντικής μείωσής της το 2018, η οποία διαμόρφωσε χαμηλή βάση για το τρέχον έτος.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lastRenderedPageBreak/>
        <w:t>Οι πραγματικές επενδύσεις κινήθηκαν σημαντικά χαμηλότερα στο πρώτο εξάμηνο του έτους (+0,7% έναντι της αντίστοιχης περιόδου του 2018</w:t>
      </w:r>
      <w:r w:rsidRPr="00674836">
        <w:rPr>
          <w:rStyle w:val="a9"/>
          <w:sz w:val="22"/>
        </w:rPr>
        <w:footnoteReference w:id="28"/>
      </w:r>
      <w:r w:rsidRPr="00674836">
        <w:rPr>
          <w:sz w:val="22"/>
        </w:rPr>
        <w:t>, όταν για το σύνολο του έτους στην εισηγητική έκθεση είχε προβλεφθεί ρυθμός αύξησης +11,9%), αλλά αναμένεται να κινηθούν σημαντικά ανοδικότερα στο δεύτερο εξάμηνο, με τον ετήσιο ρυθμό αύξησής τους να διαμορφώνεται σε 8,8% το 2019. Η αναθε</w:t>
      </w:r>
      <w:r w:rsidRPr="00674836">
        <w:rPr>
          <w:sz w:val="22"/>
        </w:rPr>
        <w:t>ω</w:t>
      </w:r>
      <w:r w:rsidRPr="00674836">
        <w:rPr>
          <w:sz w:val="22"/>
        </w:rPr>
        <w:t>ρημένη εκτίμηση ενσωματώνει το ευνοϊκό επενδυτικό περιβάλλον που διαμορφώνεται στο δεύτερο εξάμηνο του έτους, στη βάση της συνεχιζόμενης μείωσης των επιτοκίων των κρατικών χρεογράφων, της πλήρους άρσης των ελέγχων στην κίνηση κεφαλαίων και των προσφάτως ανακοινωθέντων μ</w:t>
      </w:r>
      <w:r w:rsidRPr="00674836">
        <w:rPr>
          <w:sz w:val="22"/>
        </w:rPr>
        <w:t>έ</w:t>
      </w:r>
      <w:r w:rsidRPr="00674836">
        <w:rPr>
          <w:sz w:val="22"/>
        </w:rPr>
        <w:t xml:space="preserve">τρων φορολογικής ελάφρυνσης των επιχειρήσεων. Η βελτίωση αυτή στο επενδυτικό περιβάλλον </w:t>
      </w:r>
      <w:r w:rsidRPr="00674836">
        <w:rPr>
          <w:sz w:val="22"/>
        </w:rPr>
        <w:t>α</w:t>
      </w:r>
      <w:r w:rsidRPr="00674836">
        <w:rPr>
          <w:sz w:val="22"/>
        </w:rPr>
        <w:t xml:space="preserve">ντανακλάται στην αναβάθμιση του αξιόχρεου της Ελλάδας από τον οίκο αξιολόγησης </w:t>
      </w:r>
      <w:r w:rsidRPr="00674836">
        <w:rPr>
          <w:sz w:val="22"/>
          <w:lang w:val="en-US"/>
        </w:rPr>
        <w:t>Standard</w:t>
      </w:r>
      <w:r w:rsidRPr="00674836">
        <w:rPr>
          <w:sz w:val="22"/>
        </w:rPr>
        <w:t xml:space="preserve"> &amp; </w:t>
      </w:r>
      <w:r w:rsidRPr="00674836">
        <w:rPr>
          <w:sz w:val="22"/>
          <w:lang w:val="en-US"/>
        </w:rPr>
        <w:t>Poor</w:t>
      </w:r>
      <w:r w:rsidRPr="00674836">
        <w:rPr>
          <w:sz w:val="22"/>
        </w:rPr>
        <w:t>’</w:t>
      </w:r>
      <w:r w:rsidRPr="00674836">
        <w:rPr>
          <w:sz w:val="22"/>
          <w:lang w:val="en-US"/>
        </w:rPr>
        <w:t>s</w:t>
      </w:r>
      <w:r w:rsidRPr="00674836">
        <w:rPr>
          <w:sz w:val="22"/>
        </w:rPr>
        <w:t xml:space="preserve"> στις 25 Οκτωβρίου 2019, από Β+ σε ΒΒ-, με θετική προοπτική.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Στη βάση των ανωτέρω εξελίξεων, και της παράλληλης επιτάχυνσης των διαρθρωτικών μεταρρυθμ</w:t>
      </w:r>
      <w:r w:rsidRPr="00674836">
        <w:rPr>
          <w:sz w:val="22"/>
        </w:rPr>
        <w:t>ί</w:t>
      </w:r>
      <w:r w:rsidRPr="00674836">
        <w:rPr>
          <w:sz w:val="22"/>
        </w:rPr>
        <w:t xml:space="preserve">σεων, βελτίωση αναμένεται και για τη διεθνή ανταγωνιστικότητα της Ελλάδας το 2019. Βάσει της </w:t>
      </w:r>
      <w:r w:rsidRPr="00674836">
        <w:rPr>
          <w:sz w:val="22"/>
        </w:rPr>
        <w:t>ε</w:t>
      </w:r>
      <w:r w:rsidRPr="00674836">
        <w:rPr>
          <w:sz w:val="22"/>
        </w:rPr>
        <w:t>κτίμησης της Τράπεζας της Ελλάδος, ο ευρύς δείκτης πραγματικής σταθμισμένης συναλλαγματικής ισοτιμίας αναμένεται να ανακάμψει τόσο σε όρους σχετικών τιμών καταναλωτή (κατά 1,2%)</w:t>
      </w:r>
      <w:r w:rsidR="00EC15F8">
        <w:rPr>
          <w:sz w:val="22"/>
        </w:rPr>
        <w:t>,</w:t>
      </w:r>
      <w:r w:rsidRPr="00674836">
        <w:rPr>
          <w:sz w:val="22"/>
        </w:rPr>
        <w:t xml:space="preserve"> όσο και σε όρους σχετικού κόστους εργασίας ανά μονάδα προϊόντος στο σύνολο της οικονομίας (κατά 0,6%)</w:t>
      </w:r>
      <w:r w:rsidRPr="00674836">
        <w:rPr>
          <w:rStyle w:val="a9"/>
          <w:sz w:val="22"/>
        </w:rPr>
        <w:footnoteReference w:id="29"/>
      </w:r>
      <w:r w:rsidRPr="00674836">
        <w:rPr>
          <w:sz w:val="22"/>
        </w:rPr>
        <w:t>.</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Οι ως άνω προοπτικές αποτυπώνονται στους βραχυχρόνιους δείκτες οικονομικής συγκυρίας, οι οποίοι κινούνται σημαντικά ανοδικά μετά το πρώτο εξάμηνο του 2019, με τον δείκτη οικονομικού κλίματος στις 106,9 μονάδες βάσης στο τετράμηνο Ιουλίου - Οκτωβρίου, έναντι 100,7 μονάδων στο δεύτερο τρίμηνο του 2019. Η ανάκαμψη του όγκου οικοδομικής δραστηριότητας από τον Απρίλιο του 2019, που αντανακλά την αύξηση πραγματικών επενδύσεων σε κατοικίες στο πρώτο εξάμηνο του έτους κ</w:t>
      </w:r>
      <w:r w:rsidRPr="00674836">
        <w:rPr>
          <w:sz w:val="22"/>
        </w:rPr>
        <w:t>α</w:t>
      </w:r>
      <w:r w:rsidRPr="00674836">
        <w:rPr>
          <w:sz w:val="22"/>
        </w:rPr>
        <w:t>τά 13,1% σε ετήσια βάση, υποδηλώνει ότι η στεγαστική αγορά βρίσκεται σε τροχιά εξομάλυνσης π</w:t>
      </w:r>
      <w:r w:rsidRPr="00674836">
        <w:rPr>
          <w:sz w:val="22"/>
        </w:rPr>
        <w:t>α</w:t>
      </w:r>
      <w:r w:rsidRPr="00674836">
        <w:rPr>
          <w:sz w:val="22"/>
        </w:rPr>
        <w:t>ρά τη μειωμένη προσφορά τραπεζικών πιστώσεων. Τέλος, η αύξηση αποθεμάτων στην οικονομία μ</w:t>
      </w:r>
      <w:r w:rsidRPr="00674836">
        <w:rPr>
          <w:sz w:val="22"/>
        </w:rPr>
        <w:t>ε</w:t>
      </w:r>
      <w:r w:rsidRPr="00674836">
        <w:rPr>
          <w:sz w:val="22"/>
        </w:rPr>
        <w:t>ταξύ τρίτου τριμήνου 2018 και πρώτου τριμήνου 2019 εκτιμάται ότι ευνοεί την περαιτέρω ανάκαμψη των επενδύσεων βραχυπρόθεσμα, εξαιτίας της προκυκλικής φύσης του αποθέματος κεφαλαίου στην περίπτωση της Ελλάδας</w:t>
      </w:r>
      <w:r w:rsidRPr="00674836">
        <w:rPr>
          <w:sz w:val="22"/>
          <w:vertAlign w:val="superscript"/>
        </w:rPr>
        <w:footnoteReference w:id="30"/>
      </w:r>
      <w:r w:rsidRPr="00674836">
        <w:rPr>
          <w:sz w:val="22"/>
        </w:rPr>
        <w:t xml:space="preserve">. </w:t>
      </w:r>
    </w:p>
    <w:p w:rsidR="00E0182E" w:rsidRPr="00674836" w:rsidRDefault="00E0182E" w:rsidP="00E0182E">
      <w:pPr>
        <w:jc w:val="both"/>
        <w:rPr>
          <w:sz w:val="22"/>
        </w:rPr>
      </w:pPr>
    </w:p>
    <w:p w:rsidR="00E0182E" w:rsidRPr="00674836" w:rsidRDefault="00E0182E" w:rsidP="00E0182E">
      <w:pPr>
        <w:jc w:val="both"/>
        <w:rPr>
          <w:sz w:val="22"/>
        </w:rPr>
      </w:pPr>
      <w:r w:rsidRPr="00674836">
        <w:rPr>
          <w:sz w:val="22"/>
        </w:rPr>
        <w:t>Οι ισχυρές εξαγωγικές επιδόσεις του 2018 αναμένεται να μετριαστούν το 2019, λόγω της επιβράδυ</w:t>
      </w:r>
      <w:r w:rsidRPr="00674836">
        <w:rPr>
          <w:sz w:val="22"/>
        </w:rPr>
        <w:t>ν</w:t>
      </w:r>
      <w:r w:rsidRPr="00674836">
        <w:rPr>
          <w:sz w:val="22"/>
        </w:rPr>
        <w:t>σης του ρυθμού ανάπτυξης σε παγκόσμιο επίπεδο και στην Ευρωζώνη και των επιπτώσεων αυτής στο διεθνές εμπόριο. Ο ρυθμός αύξησης των πραγματικών εξαγωγών αγαθών και υπηρεσιών στο πρώτο εξάμηνο του έτους ήταν 4,8% έναντι της αντίστοιχης περιόδου του 2018, με κύριο μοχλό την αύξηση των εξαγωγών υπηρεσιών (κατά 8,0% έναντι αύξησης 1,8% των εξαγωγών αγαθών) εν μέσω αύξησης των εισπράξεων στο ταξιδιωτικό ισοζύγιο του Ισοζυγίου Τρεχουσών Συναλλαγών, κατά 15,3% στο ίδιο διάστημα</w:t>
      </w:r>
      <w:r w:rsidRPr="00674836">
        <w:rPr>
          <w:rStyle w:val="a9"/>
          <w:sz w:val="22"/>
        </w:rPr>
        <w:footnoteReference w:id="31"/>
      </w:r>
      <w:r w:rsidRPr="00674836">
        <w:rPr>
          <w:sz w:val="22"/>
        </w:rPr>
        <w:t>. Στο σύνολο του έτους, ο όγκος των συνολικών εξαγωγών εκτιμάται σε 4,9%, σημ</w:t>
      </w:r>
      <w:r w:rsidRPr="00674836">
        <w:rPr>
          <w:sz w:val="22"/>
        </w:rPr>
        <w:t>α</w:t>
      </w:r>
      <w:r w:rsidRPr="00674836">
        <w:rPr>
          <w:sz w:val="22"/>
        </w:rPr>
        <w:t>ντικά χαμηλότερος από τον αντίστοιχο του 2018 και ελαφρώς μετριασμένος έναντι της εκτίμησης στο Πρόγραμμα Σταθερότητας (5,9%), με τη μείωση να οφείλεται στις εξαγωγές αγαθών (3,5% έναντι 6,0% προηγουμένως). Αντίθετα, η αύξηση των εξαγωγών υπηρεσιών αναμένεται υψηλότερη από ό,τι στο Πρόγραμμα Σταθερότητας (6,9% έναντι 5,8%), υπό τη στήριξη της ανάκαμψης στις υπηρεσίες μεταφορών</w:t>
      </w:r>
      <w:r w:rsidRPr="00674836">
        <w:rPr>
          <w:sz w:val="22"/>
          <w:vertAlign w:val="superscript"/>
        </w:rPr>
        <w:footnoteReference w:id="32"/>
      </w:r>
      <w:r w:rsidRPr="00674836">
        <w:rPr>
          <w:sz w:val="22"/>
        </w:rPr>
        <w:t xml:space="preserve"> και της νέας ισχυρής επίδοσης στον τουρισμό</w:t>
      </w:r>
      <w:r w:rsidRPr="00674836">
        <w:rPr>
          <w:sz w:val="22"/>
          <w:vertAlign w:val="superscript"/>
        </w:rPr>
        <w:footnoteReference w:id="33"/>
      </w:r>
      <w:r w:rsidRPr="00674836">
        <w:rPr>
          <w:sz w:val="22"/>
        </w:rPr>
        <w:t xml:space="preserve"> έπειτα από αντίστοιχη μέση άνοδο άνω του 10% τα έτη 2017-2018. </w:t>
      </w:r>
    </w:p>
    <w:p w:rsidR="00E0182E" w:rsidRPr="00674836" w:rsidRDefault="00E0182E" w:rsidP="00E0182E">
      <w:pPr>
        <w:jc w:val="both"/>
        <w:rPr>
          <w:sz w:val="22"/>
        </w:rPr>
      </w:pPr>
    </w:p>
    <w:p w:rsidR="00E0182E" w:rsidRPr="00674836" w:rsidRDefault="00E0182E" w:rsidP="00E0182E">
      <w:pPr>
        <w:ind w:right="-144"/>
        <w:jc w:val="both"/>
        <w:rPr>
          <w:sz w:val="22"/>
        </w:rPr>
      </w:pPr>
      <w:r w:rsidRPr="00674836">
        <w:rPr>
          <w:sz w:val="22"/>
        </w:rPr>
        <w:t>Οι πραγματικές εισαγωγές αγαθών και υπηρεσιών προβλέπεται ότι θα αυξηθούν κατά 4,1%, ελαφρώς ταχύτερα από την εκτίμηση του Προγράμματος Σταθερότητας (3,5%), στη βάση της αντίστοιχης αν</w:t>
      </w:r>
      <w:r w:rsidRPr="00674836">
        <w:rPr>
          <w:sz w:val="22"/>
        </w:rPr>
        <w:t>α</w:t>
      </w:r>
      <w:r w:rsidRPr="00674836">
        <w:rPr>
          <w:sz w:val="22"/>
        </w:rPr>
        <w:t xml:space="preserve">θεωρημένης εκτίμησης επενδύσεων για το 2019. Στο πρώτο εξάμηνο του έτους, οι συνολικές εισαγωγές αυξήθηκαν κατά 6,7%, τόσο λόγω της αύξησης στα αγαθά (6,9%) όσο και στις υπηρεσίες (4,5%). Ως εκ </w:t>
      </w:r>
      <w:r w:rsidRPr="00674836">
        <w:rPr>
          <w:sz w:val="22"/>
        </w:rPr>
        <w:lastRenderedPageBreak/>
        <w:t>τούτου, η προς τα πάνω αναθεώρηση των συνολικών εισαγωγών έναντι του Προγράμματος Σταθερότ</w:t>
      </w:r>
      <w:r w:rsidRPr="00674836">
        <w:rPr>
          <w:sz w:val="22"/>
        </w:rPr>
        <w:t>η</w:t>
      </w:r>
      <w:r w:rsidRPr="00674836">
        <w:rPr>
          <w:sz w:val="22"/>
        </w:rPr>
        <w:t xml:space="preserve">τας αναλύεται σε υψηλότερη εκτίμηση για τις εισαγωγές αγαθών (4,3% από 3,3%) και χαμηλότερη </w:t>
      </w:r>
      <w:r w:rsidRPr="00674836">
        <w:rPr>
          <w:sz w:val="22"/>
        </w:rPr>
        <w:t>ε</w:t>
      </w:r>
      <w:r w:rsidRPr="00674836">
        <w:rPr>
          <w:sz w:val="22"/>
        </w:rPr>
        <w:t>κτίμηση για τις εισαγωγές υπηρεσιών (3,8% από 4,9%). Από το σύνολο των αναθεωρήσεων στο εξωτ</w:t>
      </w:r>
      <w:r w:rsidRPr="00674836">
        <w:rPr>
          <w:sz w:val="22"/>
        </w:rPr>
        <w:t>ε</w:t>
      </w:r>
      <w:r w:rsidRPr="00674836">
        <w:rPr>
          <w:sz w:val="22"/>
        </w:rPr>
        <w:t xml:space="preserve">ρικό ισοζύγιο αγαθών και υπηρεσιών, προκύπτει θετική συμβολή του στην οικονομική ανάπτυξη του 2019 (0,2% του ΑΕΠ), αλλά μετριοπαθέστερη έναντι του Προγράμματος Σταθερότητας (0,8%). Σε </w:t>
      </w:r>
      <w:r w:rsidRPr="00674836">
        <w:rPr>
          <w:sz w:val="22"/>
        </w:rPr>
        <w:t>ο</w:t>
      </w:r>
      <w:r w:rsidRPr="00674836">
        <w:rPr>
          <w:sz w:val="22"/>
        </w:rPr>
        <w:t>νομαστικούς όρους, το εξωτερικό ισοζύγιο αγαθών και υπηρεσιών αναμένεται επίσης βελτιωμένο έν</w:t>
      </w:r>
      <w:r w:rsidRPr="00674836">
        <w:rPr>
          <w:sz w:val="22"/>
        </w:rPr>
        <w:t>α</w:t>
      </w:r>
      <w:r w:rsidRPr="00674836">
        <w:rPr>
          <w:sz w:val="22"/>
        </w:rPr>
        <w:t>ντι του 2018, κατά 0,2% του ΑΕΠ</w:t>
      </w:r>
      <w:r w:rsidR="00216521">
        <w:rPr>
          <w:sz w:val="22"/>
        </w:rPr>
        <w:t>.</w:t>
      </w:r>
    </w:p>
    <w:p w:rsidR="00E0182E" w:rsidRDefault="00E0182E" w:rsidP="00E0182E">
      <w:pPr>
        <w:ind w:right="-144"/>
        <w:jc w:val="both"/>
        <w:rPr>
          <w:sz w:val="20"/>
          <w:szCs w:val="22"/>
        </w:rPr>
      </w:pPr>
    </w:p>
    <w:p w:rsidR="00E0182E" w:rsidRPr="00D21DE7" w:rsidRDefault="00E0182E" w:rsidP="00E0182E">
      <w:pPr>
        <w:jc w:val="both"/>
        <w:rPr>
          <w:rFonts w:ascii="Arial Narrow" w:hAnsi="Arial Narrow"/>
          <w:b/>
          <w:bCs/>
          <w:i/>
          <w:sz w:val="22"/>
          <w:szCs w:val="22"/>
        </w:rPr>
      </w:pPr>
      <w:r w:rsidRPr="00D21DE7">
        <w:rPr>
          <w:rFonts w:ascii="Arial Narrow" w:hAnsi="Arial Narrow"/>
          <w:b/>
          <w:bCs/>
          <w:i/>
          <w:sz w:val="22"/>
          <w:szCs w:val="22"/>
        </w:rPr>
        <w:t>Πληθωρισμός – Τιμές</w:t>
      </w:r>
    </w:p>
    <w:p w:rsidR="00E0182E" w:rsidRPr="00360902" w:rsidRDefault="00E0182E" w:rsidP="00E0182E">
      <w:pPr>
        <w:jc w:val="both"/>
        <w:rPr>
          <w:rFonts w:ascii="Arial Narrow" w:hAnsi="Arial Narrow"/>
          <w:b/>
          <w:color w:val="000080"/>
          <w:sz w:val="22"/>
          <w:szCs w:val="22"/>
        </w:rPr>
      </w:pPr>
    </w:p>
    <w:p w:rsidR="00E0182E" w:rsidRPr="00674836" w:rsidRDefault="00E0182E" w:rsidP="00E0182E">
      <w:pPr>
        <w:jc w:val="both"/>
        <w:rPr>
          <w:sz w:val="22"/>
          <w:szCs w:val="22"/>
        </w:rPr>
      </w:pPr>
      <w:r w:rsidRPr="00674836">
        <w:rPr>
          <w:sz w:val="22"/>
          <w:szCs w:val="22"/>
        </w:rPr>
        <w:t xml:space="preserve">Ο πληθωρισμός αναμένεται θετικός το 2019, αλλά περαιτέρω επιβραδυνόμενος έναντι του 2018 (0,6% έναντι 0,8%, βάσει </w:t>
      </w:r>
      <w:r w:rsidR="003B55C3">
        <w:rPr>
          <w:sz w:val="22"/>
          <w:szCs w:val="22"/>
        </w:rPr>
        <w:t xml:space="preserve">του </w:t>
      </w:r>
      <w:r w:rsidRPr="00674836">
        <w:rPr>
          <w:sz w:val="22"/>
          <w:szCs w:val="22"/>
        </w:rPr>
        <w:t>Εναρμονισμένο</w:t>
      </w:r>
      <w:r w:rsidR="00B77342">
        <w:rPr>
          <w:sz w:val="22"/>
          <w:szCs w:val="22"/>
        </w:rPr>
        <w:t>υ Δείκτη Τιμών Καταναλωτή-Εν. ΔΤΚ</w:t>
      </w:r>
      <w:r w:rsidRPr="00674836">
        <w:rPr>
          <w:sz w:val="22"/>
          <w:szCs w:val="22"/>
        </w:rPr>
        <w:t>), εν μέσω της συμπίεσης των διεθνών τιμών του πετρελαίου στο μεγαλύτερο μέρος του έτους και της επίδρασης στις τιμές από τη μείωση συντελεστών ΦΠΑ σε κατηγορίες προϊόντων τον Μάιο του 2019.</w:t>
      </w:r>
    </w:p>
    <w:p w:rsidR="00E0182E" w:rsidRPr="00674836" w:rsidRDefault="00E0182E" w:rsidP="00E0182E">
      <w:pPr>
        <w:jc w:val="both"/>
        <w:rPr>
          <w:sz w:val="22"/>
          <w:szCs w:val="22"/>
        </w:rPr>
      </w:pPr>
    </w:p>
    <w:p w:rsidR="00E0182E" w:rsidRPr="00674836" w:rsidRDefault="00E0182E" w:rsidP="00E0182E">
      <w:pPr>
        <w:jc w:val="both"/>
        <w:rPr>
          <w:sz w:val="22"/>
          <w:szCs w:val="22"/>
        </w:rPr>
      </w:pPr>
      <w:r w:rsidRPr="00674836">
        <w:rPr>
          <w:sz w:val="22"/>
          <w:szCs w:val="22"/>
        </w:rPr>
        <w:t>Στο πρώτο δεκάμηνο του έτους, ο Εν. ΔΤΚ παρουσιάζει μέσο ρυθμό αύξησης 0,5% έναντι της αντ</w:t>
      </w:r>
      <w:r w:rsidRPr="00674836">
        <w:rPr>
          <w:sz w:val="22"/>
          <w:szCs w:val="22"/>
        </w:rPr>
        <w:t>ί</w:t>
      </w:r>
      <w:r w:rsidRPr="00674836">
        <w:rPr>
          <w:sz w:val="22"/>
          <w:szCs w:val="22"/>
        </w:rPr>
        <w:t>στοιχης περιόδου του 2018, σημειώνοντας όμως σημάδια επιβράδυνσης από τον Μάιο του 2019 (σε 0,2% κατά μέσο όρο</w:t>
      </w:r>
      <w:r w:rsidRPr="00674836">
        <w:rPr>
          <w:rStyle w:val="a9"/>
          <w:sz w:val="22"/>
          <w:szCs w:val="22"/>
        </w:rPr>
        <w:footnoteReference w:id="34"/>
      </w:r>
      <w:r w:rsidRPr="00674836">
        <w:rPr>
          <w:sz w:val="22"/>
          <w:szCs w:val="22"/>
        </w:rPr>
        <w:t>) έναντι του πρώτου τετραμήνου (0,9% κατά μέσο όρο). Ως προς αυτή την επ</w:t>
      </w:r>
      <w:r w:rsidRPr="00674836">
        <w:rPr>
          <w:sz w:val="22"/>
          <w:szCs w:val="22"/>
        </w:rPr>
        <w:t>ι</w:t>
      </w:r>
      <w:r w:rsidRPr="00674836">
        <w:rPr>
          <w:sz w:val="22"/>
          <w:szCs w:val="22"/>
        </w:rPr>
        <w:t>βράδυνση, η επιδρώσα μείωση ΦΠΑ γίνεται εμφανής κατά τη σύγκριση του Εν. ΔΤΚ με τον Εν. ΔΤΚ με σταθερούς φόρους. Για την περίοδο Ιανουαρίου-Απριλίου η απόκλιση του πρώτου από τον δεύτερο είναι μηδενική, ενώ σύμφωνα με τα έως σήμερα διαθέσιμα στοιχεία για το υπόλοιπο έτος (Μάιος-Οκτώβριος), η απόκλιση αγγίζει το -1,2% έναντι της</w:t>
      </w:r>
      <w:r w:rsidR="009171BE">
        <w:rPr>
          <w:sz w:val="22"/>
          <w:szCs w:val="22"/>
        </w:rPr>
        <w:t xml:space="preserve"> αντίστοιχης περιόδου του 2018.</w:t>
      </w:r>
      <w:r w:rsidRPr="00674836">
        <w:rPr>
          <w:sz w:val="22"/>
          <w:szCs w:val="22"/>
        </w:rPr>
        <w:t xml:space="preserve"> </w:t>
      </w:r>
    </w:p>
    <w:p w:rsidR="00E0182E" w:rsidRPr="00674836" w:rsidRDefault="00E0182E" w:rsidP="00E0182E">
      <w:pPr>
        <w:jc w:val="both"/>
        <w:rPr>
          <w:sz w:val="22"/>
          <w:szCs w:val="22"/>
        </w:rPr>
      </w:pPr>
    </w:p>
    <w:p w:rsidR="00E0182E" w:rsidRPr="00D21DE7" w:rsidRDefault="00E0182E" w:rsidP="00E0182E">
      <w:pPr>
        <w:jc w:val="both"/>
        <w:rPr>
          <w:rFonts w:ascii="Arial Narrow" w:hAnsi="Arial Narrow"/>
          <w:b/>
          <w:bCs/>
          <w:i/>
          <w:sz w:val="22"/>
          <w:szCs w:val="22"/>
        </w:rPr>
      </w:pPr>
      <w:r w:rsidRPr="00D21DE7">
        <w:rPr>
          <w:rFonts w:ascii="Arial Narrow" w:hAnsi="Arial Narrow"/>
          <w:b/>
          <w:bCs/>
          <w:i/>
          <w:sz w:val="22"/>
          <w:szCs w:val="22"/>
        </w:rPr>
        <w:t>Απασχόληση – Ανεργία</w:t>
      </w:r>
    </w:p>
    <w:p w:rsidR="00E0182E" w:rsidRPr="00D21DE7" w:rsidRDefault="00E0182E" w:rsidP="00D21DE7">
      <w:pPr>
        <w:jc w:val="both"/>
        <w:rPr>
          <w:rFonts w:ascii="Arial Narrow" w:hAnsi="Arial Narrow"/>
          <w:b/>
          <w:bCs/>
          <w:i/>
          <w:sz w:val="22"/>
          <w:szCs w:val="22"/>
        </w:rPr>
      </w:pPr>
    </w:p>
    <w:p w:rsidR="00E0182E" w:rsidRPr="00674836" w:rsidRDefault="000801DE" w:rsidP="00E0182E">
      <w:pPr>
        <w:jc w:val="both"/>
        <w:rPr>
          <w:sz w:val="22"/>
          <w:szCs w:val="22"/>
        </w:rPr>
      </w:pPr>
      <w:r>
        <w:rPr>
          <w:sz w:val="22"/>
          <w:szCs w:val="22"/>
        </w:rPr>
        <w:t>Β</w:t>
      </w:r>
      <w:r w:rsidR="00216521">
        <w:rPr>
          <w:sz w:val="22"/>
          <w:szCs w:val="22"/>
        </w:rPr>
        <w:t>άσει των τελευταίων διαθέσιμων στοιχείων της μηνιαίας Έρευνας Εργατικού Δυναμικού (Ελληνική Στατιστική Αρχή), την περίοδο Ιανουαρίου-Αυγούστου 2019 η συνολική απασχόληση αυξήθηκε κατά 2,3% έναντι αύξησης 1,7% την αντίστοιχη περ</w:t>
      </w:r>
      <w:r w:rsidR="007701B3">
        <w:rPr>
          <w:sz w:val="22"/>
          <w:szCs w:val="22"/>
        </w:rPr>
        <w:t>ίοδο του 2018,</w:t>
      </w:r>
      <w:r w:rsidR="00E0182E" w:rsidRPr="00674836">
        <w:rPr>
          <w:sz w:val="22"/>
          <w:szCs w:val="22"/>
        </w:rPr>
        <w:t xml:space="preserve"> με τη νέα εκτίμηση για το σύνολο του έτους να ανέρχεται σε 2,0%, υποδηλώνοντας πορεία επιτάχυνσης για τρίτο διαδοχικό έτος</w:t>
      </w:r>
      <w:r w:rsidR="00E0182E" w:rsidRPr="00674836">
        <w:rPr>
          <w:sz w:val="22"/>
          <w:szCs w:val="22"/>
          <w:vertAlign w:val="superscript"/>
        </w:rPr>
        <w:footnoteReference w:id="35"/>
      </w:r>
      <w:r w:rsidR="00E0182E" w:rsidRPr="00674836">
        <w:rPr>
          <w:sz w:val="22"/>
          <w:szCs w:val="22"/>
        </w:rPr>
        <w:t>. Ως εκ τούτου, η νέα εκτίμηση για την ανεργία του 2019 είναι ευνοϊκότερη του Προγράμματος Σταθερότητας κατά 0,3%, στο 17,4% του εργατικού δυναμικού</w:t>
      </w:r>
      <w:r w:rsidR="00E0182E" w:rsidRPr="00674836">
        <w:rPr>
          <w:rStyle w:val="a9"/>
          <w:sz w:val="22"/>
          <w:szCs w:val="22"/>
        </w:rPr>
        <w:footnoteReference w:id="36"/>
      </w:r>
      <w:r w:rsidR="00E0182E" w:rsidRPr="00674836">
        <w:rPr>
          <w:sz w:val="22"/>
          <w:szCs w:val="22"/>
        </w:rPr>
        <w:t>. Έναντι της συνολικής απασχόλησης, η απασχόλ</w:t>
      </w:r>
      <w:r w:rsidR="00E0182E" w:rsidRPr="00674836">
        <w:rPr>
          <w:sz w:val="22"/>
          <w:szCs w:val="22"/>
        </w:rPr>
        <w:t>η</w:t>
      </w:r>
      <w:r w:rsidR="00E0182E" w:rsidRPr="00674836">
        <w:rPr>
          <w:sz w:val="22"/>
          <w:szCs w:val="22"/>
        </w:rPr>
        <w:t>ση μισθωτών αυξήθηκε ταχύτερα στο πρώτο εξάμηνο του 2019 (+4,1% έναντι του πρώτου εξαμήνου 2018</w:t>
      </w:r>
      <w:r w:rsidR="007701B3">
        <w:rPr>
          <w:sz w:val="22"/>
          <w:szCs w:val="22"/>
        </w:rPr>
        <w:t xml:space="preserve"> σε εθνικολογιστική βάση</w:t>
      </w:r>
      <w:r w:rsidR="00E0182E" w:rsidRPr="00674836">
        <w:rPr>
          <w:sz w:val="22"/>
          <w:szCs w:val="22"/>
        </w:rPr>
        <w:t xml:space="preserve">), αντανακλώντας μία </w:t>
      </w:r>
      <w:r w:rsidR="00E0182E" w:rsidRPr="00674836">
        <w:rPr>
          <w:i/>
          <w:sz w:val="22"/>
          <w:szCs w:val="22"/>
        </w:rPr>
        <w:t>αρχικώς</w:t>
      </w:r>
      <w:r w:rsidR="00E0182E" w:rsidRPr="00674836">
        <w:rPr>
          <w:sz w:val="22"/>
          <w:szCs w:val="22"/>
        </w:rPr>
        <w:t xml:space="preserve"> περιορισμένη επίπτωση της αύξησης του κατώτατου μισθού στην πορεία της απασχόλησης και του μέσου μισθού (+0,4% έναντι του πρ</w:t>
      </w:r>
      <w:r w:rsidR="00E0182E" w:rsidRPr="00674836">
        <w:rPr>
          <w:sz w:val="22"/>
          <w:szCs w:val="22"/>
        </w:rPr>
        <w:t>ώ</w:t>
      </w:r>
      <w:r w:rsidR="00E0182E" w:rsidRPr="00674836">
        <w:rPr>
          <w:sz w:val="22"/>
          <w:szCs w:val="22"/>
        </w:rPr>
        <w:t>του εξαμήνου 2018). Σε κάθε περίπτωση, η συνέχιση παρακολούθησης των επιπτώσεων από την α</w:t>
      </w:r>
      <w:r w:rsidR="00E0182E" w:rsidRPr="00674836">
        <w:rPr>
          <w:sz w:val="22"/>
          <w:szCs w:val="22"/>
        </w:rPr>
        <w:t>ύ</w:t>
      </w:r>
      <w:r w:rsidR="00E0182E" w:rsidRPr="00674836">
        <w:rPr>
          <w:sz w:val="22"/>
          <w:szCs w:val="22"/>
        </w:rPr>
        <w:t xml:space="preserve">ξηση του κατώτατου μισθού κρίνεται απαραίτητη, καθώς σε δεύτερο χρόνο είναι πιθανό να φέρει </w:t>
      </w:r>
      <w:r w:rsidR="00E0182E" w:rsidRPr="00674836">
        <w:rPr>
          <w:sz w:val="22"/>
          <w:szCs w:val="22"/>
        </w:rPr>
        <w:t>α</w:t>
      </w:r>
      <w:r w:rsidR="00E0182E" w:rsidRPr="00674836">
        <w:rPr>
          <w:sz w:val="22"/>
          <w:szCs w:val="22"/>
        </w:rPr>
        <w:t xml:space="preserve">πώλειες για τη δυναμική μείωσης της ανεργίας. </w:t>
      </w:r>
    </w:p>
    <w:p w:rsidR="00E0182E" w:rsidRPr="00674836" w:rsidRDefault="00E0182E" w:rsidP="00E0182E">
      <w:pPr>
        <w:jc w:val="both"/>
        <w:rPr>
          <w:sz w:val="22"/>
          <w:szCs w:val="22"/>
        </w:rPr>
      </w:pPr>
    </w:p>
    <w:p w:rsidR="00E0182E" w:rsidRDefault="00E0182E" w:rsidP="00E0182E">
      <w:pPr>
        <w:jc w:val="both"/>
        <w:rPr>
          <w:sz w:val="22"/>
          <w:szCs w:val="22"/>
        </w:rPr>
      </w:pPr>
      <w:r w:rsidRPr="00674836">
        <w:rPr>
          <w:sz w:val="22"/>
          <w:szCs w:val="22"/>
        </w:rPr>
        <w:t>Όσον αφορά τη διάρθρωση της απασχόλησης</w:t>
      </w:r>
      <w:r w:rsidRPr="00674836">
        <w:rPr>
          <w:rStyle w:val="a9"/>
          <w:sz w:val="22"/>
          <w:szCs w:val="22"/>
        </w:rPr>
        <w:footnoteReference w:id="37"/>
      </w:r>
      <w:r w:rsidRPr="00674836">
        <w:rPr>
          <w:sz w:val="22"/>
          <w:szCs w:val="22"/>
        </w:rPr>
        <w:t xml:space="preserve">, στο πρώτο εξάμηνο του 2019 η πλήρης απασχόληση ως ποσοστό της συνολικής απασχόλησης αυξήθηκε </w:t>
      </w:r>
      <w:r w:rsidR="007701B3">
        <w:rPr>
          <w:sz w:val="22"/>
          <w:szCs w:val="22"/>
        </w:rPr>
        <w:t xml:space="preserve">ελάχιστα </w:t>
      </w:r>
      <w:r w:rsidRPr="00674836">
        <w:rPr>
          <w:sz w:val="22"/>
          <w:szCs w:val="22"/>
        </w:rPr>
        <w:t xml:space="preserve">κατά μέσο όρο στο 90,8% έναντι 90,5% στο πρώτο εξάμηνο του 2018, με αντίστοιχη υποχώρηση της συμμετοχής της μερικής απασχόλησης από το 9,5% στο 9,2%. Στο ίδιο διάστημα, βελτιούμενη υπήρξε η μακροχρόνια ανεργία ως ποσοστό της συνολικής ανεργίας (στο 67,9% σε μέσους όρους τριμήνων από 70,3% στο πρώτο εξάμηνο του 2018), και η ανεργία των νέων ως ποσοστό του νεανικού εργατικού δυναμικού (στο 37,3% έναντι 41,6% στο πρώτο εξάμηνο του 2018). </w:t>
      </w:r>
    </w:p>
    <w:p w:rsidR="007B4997" w:rsidRDefault="007B4997" w:rsidP="00E0182E">
      <w:pPr>
        <w:jc w:val="both"/>
        <w:rPr>
          <w:sz w:val="22"/>
          <w:szCs w:val="22"/>
        </w:rPr>
      </w:pPr>
    </w:p>
    <w:p w:rsidR="007701B3" w:rsidRDefault="007701B3" w:rsidP="00E0182E">
      <w:pPr>
        <w:jc w:val="both"/>
        <w:rPr>
          <w:sz w:val="22"/>
          <w:szCs w:val="22"/>
        </w:rPr>
      </w:pPr>
    </w:p>
    <w:p w:rsidR="007B4997" w:rsidRPr="00D21DE7" w:rsidRDefault="007B4997" w:rsidP="00E0182E">
      <w:pPr>
        <w:jc w:val="both"/>
        <w:rPr>
          <w:rFonts w:ascii="Arial Narrow" w:hAnsi="Arial Narrow"/>
          <w:b/>
          <w:bCs/>
          <w:i/>
          <w:sz w:val="22"/>
          <w:szCs w:val="22"/>
        </w:rPr>
      </w:pPr>
      <w:r w:rsidRPr="00D21DE7">
        <w:rPr>
          <w:rFonts w:ascii="Arial Narrow" w:hAnsi="Arial Narrow"/>
          <w:b/>
          <w:bCs/>
          <w:i/>
          <w:sz w:val="22"/>
          <w:szCs w:val="22"/>
        </w:rPr>
        <w:lastRenderedPageBreak/>
        <w:t>Νομισματικές και πιστωτικές εξελίξεις στην Ελλάδα</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Το 2019 ο ετήσιος ρυθμός μεταβολής του συνόλου των εγχώριων καταθέσεων επιταχύνθηκε, σημει</w:t>
      </w:r>
      <w:r w:rsidRPr="003C2760">
        <w:rPr>
          <w:sz w:val="22"/>
          <w:szCs w:val="22"/>
        </w:rPr>
        <w:t>ώ</w:t>
      </w:r>
      <w:r w:rsidRPr="003C2760">
        <w:rPr>
          <w:sz w:val="22"/>
          <w:szCs w:val="22"/>
        </w:rPr>
        <w:t>νοντας αύξηση 7,9%, κατά μέσο όρο, τους πρώτους εννέα μήνες του έτους (μέσος ετήσιος ρυθμός κ</w:t>
      </w:r>
      <w:r w:rsidRPr="003C2760">
        <w:rPr>
          <w:sz w:val="22"/>
          <w:szCs w:val="22"/>
        </w:rPr>
        <w:t>α</w:t>
      </w:r>
      <w:r w:rsidRPr="003C2760">
        <w:rPr>
          <w:sz w:val="22"/>
          <w:szCs w:val="22"/>
        </w:rPr>
        <w:t xml:space="preserve">τά το 2018: 6,2%). Στην ανωτέρω εξέλιξη συνέβαλαν οι καταθέσεις διάρκειας μίας ημέρας, των </w:t>
      </w:r>
      <w:r w:rsidRPr="003C2760">
        <w:rPr>
          <w:sz w:val="22"/>
          <w:szCs w:val="22"/>
        </w:rPr>
        <w:t>ο</w:t>
      </w:r>
      <w:r w:rsidRPr="003C2760">
        <w:rPr>
          <w:sz w:val="22"/>
          <w:szCs w:val="22"/>
        </w:rPr>
        <w:t>ποίων ο ετήσιος ρυθμός ανόδου διαμορφώνεται από τον Μάρτιο και εξής σε διψήφιο μέγεθος (2019 μ.ο.: 11,4%, 2018 μ.ο.: 6,2%). Οι εν λόγω καταθέσεις περιλαμβάνουν λογαριασμούς που χρησιμοπο</w:t>
      </w:r>
      <w:r w:rsidRPr="003C2760">
        <w:rPr>
          <w:sz w:val="22"/>
          <w:szCs w:val="22"/>
        </w:rPr>
        <w:t>ι</w:t>
      </w:r>
      <w:r w:rsidRPr="003C2760">
        <w:rPr>
          <w:sz w:val="22"/>
          <w:szCs w:val="22"/>
        </w:rPr>
        <w:t>ούνται κατά κανόνα για συναλλακτικούς σκοπούς, όπως οι λογαριασμοί όψεως, ταμιευτηρίου και τρ</w:t>
      </w:r>
      <w:r w:rsidRPr="003C2760">
        <w:rPr>
          <w:sz w:val="22"/>
          <w:szCs w:val="22"/>
        </w:rPr>
        <w:t>ε</w:t>
      </w:r>
      <w:r w:rsidRPr="003C2760">
        <w:rPr>
          <w:sz w:val="22"/>
          <w:szCs w:val="22"/>
        </w:rPr>
        <w:t>χούμενοι, και συνεπώς η επιτάχυνση στον ρυθμό ανόδου τους είναι συνεπής με την παρατηρούμενη βελτίωση των μακρο-οικονομικών μεγεθών. Αντίθετα, οι καταθέσεις προθεσμίας έως 2 έτη αυξήθ</w:t>
      </w:r>
      <w:r w:rsidRPr="003C2760">
        <w:rPr>
          <w:sz w:val="22"/>
          <w:szCs w:val="22"/>
        </w:rPr>
        <w:t>η</w:t>
      </w:r>
      <w:r w:rsidRPr="003C2760">
        <w:rPr>
          <w:sz w:val="22"/>
          <w:szCs w:val="22"/>
        </w:rPr>
        <w:t>καν με βραδύτερο ετήσιο ρυθμό κατά 3,0% κατά μέσο όρο τους πρώτους εννέα μήνες του έτους (από 7,8% κατά μέσο όρο το 2018).</w:t>
      </w:r>
    </w:p>
    <w:p w:rsidR="00044E0E" w:rsidRPr="003C2760" w:rsidRDefault="00044E0E" w:rsidP="00044E0E">
      <w:pPr>
        <w:jc w:val="both"/>
        <w:rPr>
          <w:sz w:val="22"/>
          <w:szCs w:val="22"/>
          <w:highlight w:val="yellow"/>
        </w:rPr>
      </w:pPr>
    </w:p>
    <w:p w:rsidR="00044E0E" w:rsidRPr="003C2760" w:rsidRDefault="00044E0E" w:rsidP="00044E0E">
      <w:pPr>
        <w:jc w:val="both"/>
        <w:rPr>
          <w:sz w:val="22"/>
          <w:szCs w:val="22"/>
        </w:rPr>
      </w:pPr>
      <w:r w:rsidRPr="003C2760">
        <w:rPr>
          <w:sz w:val="22"/>
          <w:szCs w:val="22"/>
        </w:rPr>
        <w:t>Τους πρώτους εννέα μήνες του τρέχοντος έτους παρατηρήθηκε εισροή καταθέσεων προς τα εγχώρια πιστωτικά ιδρύματα και κατά τομέα. Ειδικότερα, οι τραπεζικές καταθέσεις των μη χρηματοπιστωτ</w:t>
      </w:r>
      <w:r w:rsidRPr="003C2760">
        <w:rPr>
          <w:sz w:val="22"/>
          <w:szCs w:val="22"/>
        </w:rPr>
        <w:t>ι</w:t>
      </w:r>
      <w:r w:rsidRPr="003C2760">
        <w:rPr>
          <w:sz w:val="22"/>
          <w:szCs w:val="22"/>
        </w:rPr>
        <w:t>κών επιχειρήσεων αυξήθηκαν συνολικά περίπου κατά 100 εκατ. ευρώ (έναντι αύξησης 1,5 δισ. ευρώ την ίδια περίοδο του 2018). Μεγαλύτερη αύξηση κατέγραψαν οι καταθέσεις των νοικοκυριών, κατά 4,2 δισ. ευρώ (έναντι αύξησης 3,6 δισ. ευρώ την ίδια περίοδο του 2018). Η κατά τομέα ανάλυση επ</w:t>
      </w:r>
      <w:r w:rsidRPr="003C2760">
        <w:rPr>
          <w:sz w:val="22"/>
          <w:szCs w:val="22"/>
        </w:rPr>
        <w:t>ι</w:t>
      </w:r>
      <w:r w:rsidRPr="003C2760">
        <w:rPr>
          <w:sz w:val="22"/>
          <w:szCs w:val="22"/>
        </w:rPr>
        <w:t>βεβαιώνει την εκτίμηση ότι η παρατηρούμενη άνοδος στις καταθέσεις οφείλεται, κατά κύριο λόγο, στην ανάκαμψη της οικονομικής δραστηριότητας, καθώς αφορούσε καταθέσεις διάρκειας μίας ημ</w:t>
      </w:r>
      <w:r w:rsidRPr="003C2760">
        <w:rPr>
          <w:sz w:val="22"/>
          <w:szCs w:val="22"/>
        </w:rPr>
        <w:t>έ</w:t>
      </w:r>
      <w:r w:rsidRPr="003C2760">
        <w:rPr>
          <w:sz w:val="22"/>
          <w:szCs w:val="22"/>
        </w:rPr>
        <w:t xml:space="preserve">ρας. </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Ο ετήσιος ρυθμός μεταβολής του υπολοίπου της χρηματοδότησης προς τον τομέα της γενικής κυβέ</w:t>
      </w:r>
      <w:r w:rsidRPr="003C2760">
        <w:rPr>
          <w:sz w:val="22"/>
          <w:szCs w:val="22"/>
        </w:rPr>
        <w:t>ρ</w:t>
      </w:r>
      <w:r w:rsidRPr="003C2760">
        <w:rPr>
          <w:sz w:val="22"/>
          <w:szCs w:val="22"/>
        </w:rPr>
        <w:t>νησης από το εγχώριο τραπεζικό σύστημα (συμπεριλαμβανομένης της Τραπέζης της Ελλάδος) έλαβε λιγότερο αρνητικές τιμές κατά μέσο όρο το 2019 σε σύγκριση με το προηγούμενο έτος. Αναλυτικότ</w:t>
      </w:r>
      <w:r w:rsidRPr="003C2760">
        <w:rPr>
          <w:sz w:val="22"/>
          <w:szCs w:val="22"/>
        </w:rPr>
        <w:t>ε</w:t>
      </w:r>
      <w:r w:rsidRPr="003C2760">
        <w:rPr>
          <w:sz w:val="22"/>
          <w:szCs w:val="22"/>
        </w:rPr>
        <w:t>ρα, ο εν λόγω ρυθμός μεταβολής ανήλθε σε -3,1% τον Σεπτέμβριο του 2019 (έναντι -2,0% το</w:t>
      </w:r>
      <w:r w:rsidR="00FE34F3">
        <w:rPr>
          <w:sz w:val="22"/>
          <w:szCs w:val="22"/>
        </w:rPr>
        <w:t>ν</w:t>
      </w:r>
      <w:r w:rsidRPr="003C2760">
        <w:rPr>
          <w:sz w:val="22"/>
          <w:szCs w:val="22"/>
        </w:rPr>
        <w:t xml:space="preserve"> Δ</w:t>
      </w:r>
      <w:r w:rsidRPr="003C2760">
        <w:rPr>
          <w:sz w:val="22"/>
          <w:szCs w:val="22"/>
        </w:rPr>
        <w:t>ε</w:t>
      </w:r>
      <w:r w:rsidRPr="003C2760">
        <w:rPr>
          <w:sz w:val="22"/>
          <w:szCs w:val="22"/>
        </w:rPr>
        <w:t>κέμβριο του 2018 και -5,6% τον Σεπτέμβριο του 2018) και το εννεάμηνο Ιανουαρίου-Σεπτεμβρίου 2019 διαμορφώθηκε κατά μέσο όρο σε μόλις -1,9% έναντι -8,2% κατά το 2018. Η συρρίκνωση του υπολοίπου της χρηματοδότησης προς τον τομέα της γενικής κυβέρνησης συνεχίστηκε το 2019 καθώς καταγράφηκε μείωση του υπολοίπου των δανείων των τραπεζών προς τη γενική κυβέρνηση. Από την άλλη πλευρά, η αξία του αποθέματος τίτλων του Ελληνικού Δημοσίου στο χαρτοφυλάκιο των τραπ</w:t>
      </w:r>
      <w:r w:rsidRPr="003C2760">
        <w:rPr>
          <w:sz w:val="22"/>
          <w:szCs w:val="22"/>
        </w:rPr>
        <w:t>ε</w:t>
      </w:r>
      <w:r w:rsidRPr="003C2760">
        <w:rPr>
          <w:sz w:val="22"/>
          <w:szCs w:val="22"/>
        </w:rPr>
        <w:t>ζών ενισχύθηκε.</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Όσον αφορά την τραπεζική χρηματοδότηση του ιδιωτικού μη χρηματοπιστωτικού τομέα της οικον</w:t>
      </w:r>
      <w:r w:rsidRPr="003C2760">
        <w:rPr>
          <w:sz w:val="22"/>
          <w:szCs w:val="22"/>
        </w:rPr>
        <w:t>ο</w:t>
      </w:r>
      <w:r w:rsidRPr="003C2760">
        <w:rPr>
          <w:sz w:val="22"/>
          <w:szCs w:val="22"/>
        </w:rPr>
        <w:t>μίας, ο ετήσιος ρυθμός μείωσης των τραπεζικών πιστώσεων προς τα νοικοκυριά έγινε εντονότερος τους πρώτους εννέα μήνες του 2019 και διαμορφώθηκε σε -2,9% τον Σεπτέμβριο (έναντι -2,2% το</w:t>
      </w:r>
      <w:r w:rsidR="00FE34F3">
        <w:rPr>
          <w:sz w:val="22"/>
          <w:szCs w:val="22"/>
        </w:rPr>
        <w:t>ν</w:t>
      </w:r>
      <w:r w:rsidRPr="003C2760">
        <w:rPr>
          <w:sz w:val="22"/>
          <w:szCs w:val="22"/>
        </w:rPr>
        <w:t xml:space="preserve"> Δεκέμβριο του 2018). Αντίθετα, ο ετήσιος ρυθμός μεταβολής των τραπεζικών πιστώσεων προς τις μη χρηματοπιστωτικές επιχειρήσεις, ενώ αρχικά μετά τον Ιούλιο του 2018 ελάμβανε προοδευτικά λιγ</w:t>
      </w:r>
      <w:r w:rsidRPr="003C2760">
        <w:rPr>
          <w:sz w:val="22"/>
          <w:szCs w:val="22"/>
        </w:rPr>
        <w:t>ό</w:t>
      </w:r>
      <w:r w:rsidRPr="003C2760">
        <w:rPr>
          <w:sz w:val="22"/>
          <w:szCs w:val="22"/>
        </w:rPr>
        <w:t>τερο αρνητικές τιμές, από το</w:t>
      </w:r>
      <w:r w:rsidR="00FE34F3">
        <w:rPr>
          <w:sz w:val="22"/>
          <w:szCs w:val="22"/>
        </w:rPr>
        <w:t>ν</w:t>
      </w:r>
      <w:r w:rsidRPr="003C2760">
        <w:rPr>
          <w:sz w:val="22"/>
          <w:szCs w:val="22"/>
        </w:rPr>
        <w:t xml:space="preserve"> Δεκέμβριο του 2018 μεταστράφηκε σε θετικές και ολοένα αυξανόμενες τιμές και το</w:t>
      </w:r>
      <w:r w:rsidR="00FE34F3">
        <w:rPr>
          <w:sz w:val="22"/>
          <w:szCs w:val="22"/>
        </w:rPr>
        <w:t>ν</w:t>
      </w:r>
      <w:r w:rsidRPr="003C2760">
        <w:rPr>
          <w:sz w:val="22"/>
          <w:szCs w:val="22"/>
        </w:rPr>
        <w:t xml:space="preserve"> Σεπτέμβριο του 2019 ανήλθε σε 2,2% (Δεκέμβριος 2018: 0,2%). </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Η εξέλιξη των τραπεζικών πιστώσεων προς τις επιχειρήσεις, την επισκοπούμενη περίοδο, αντανακλά τη βελτίωση</w:t>
      </w:r>
      <w:bookmarkStart w:id="1" w:name="_GoBack"/>
      <w:bookmarkEnd w:id="1"/>
      <w:r w:rsidRPr="003C2760">
        <w:rPr>
          <w:sz w:val="22"/>
          <w:szCs w:val="22"/>
        </w:rPr>
        <w:t xml:space="preserve"> στις συνθήκες της ζήτησης και προσφοράς τραπεζικών δανείων. Η συνέχιση της ανοδ</w:t>
      </w:r>
      <w:r w:rsidRPr="003C2760">
        <w:rPr>
          <w:sz w:val="22"/>
          <w:szCs w:val="22"/>
        </w:rPr>
        <w:t>ι</w:t>
      </w:r>
      <w:r w:rsidRPr="003C2760">
        <w:rPr>
          <w:sz w:val="22"/>
          <w:szCs w:val="22"/>
        </w:rPr>
        <w:t>κής πορείας του ΑΕΠ και η διαμόρφωση των επιτοκίων των επιχειρηματικών δανείων σε χαμηλότερο μέσο επίπεδο το 2019 είχαν αυξητική επίδραση στη ζήτηση για τραπεζικά δάνεια.</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Από την πλευρά της προσφοράς, οι συνθήκες ρευστότητας του τραπεζικού συστήματος βελτιώθηκαν το 2019, εν μέρει ως αποτέλεσμα της προόδου που συντελέστηκε στη μείωση των μη εξυπηρετούμ</w:t>
      </w:r>
      <w:r w:rsidRPr="003C2760">
        <w:rPr>
          <w:sz w:val="22"/>
          <w:szCs w:val="22"/>
        </w:rPr>
        <w:t>ε</w:t>
      </w:r>
      <w:r w:rsidRPr="003C2760">
        <w:rPr>
          <w:sz w:val="22"/>
          <w:szCs w:val="22"/>
        </w:rPr>
        <w:t>νων δανείων το 2018-2019, σύμφωνα με τους στόχους των τραπεζών. Η συνέχιση της εισροής κατ</w:t>
      </w:r>
      <w:r w:rsidRPr="003C2760">
        <w:rPr>
          <w:sz w:val="22"/>
          <w:szCs w:val="22"/>
        </w:rPr>
        <w:t>α</w:t>
      </w:r>
      <w:r w:rsidRPr="003C2760">
        <w:rPr>
          <w:sz w:val="22"/>
          <w:szCs w:val="22"/>
        </w:rPr>
        <w:t>θέσεων και της άντλησης πόρων από τη διεθνή διατραπεζική αγορά, καθώς και μέσω των στοχευμ</w:t>
      </w:r>
      <w:r w:rsidRPr="003C2760">
        <w:rPr>
          <w:sz w:val="22"/>
          <w:szCs w:val="22"/>
        </w:rPr>
        <w:t>έ</w:t>
      </w:r>
      <w:r w:rsidRPr="003C2760">
        <w:rPr>
          <w:sz w:val="22"/>
          <w:szCs w:val="22"/>
        </w:rPr>
        <w:t>νων πράξεων μακροπρόθεσμης αναχρηματοδότησης του Ευρωσυστήματος, επέδρασαν θετικά στη δ</w:t>
      </w:r>
      <w:r w:rsidRPr="003C2760">
        <w:rPr>
          <w:sz w:val="22"/>
          <w:szCs w:val="22"/>
        </w:rPr>
        <w:t>υ</w:t>
      </w:r>
      <w:r w:rsidRPr="003C2760">
        <w:rPr>
          <w:sz w:val="22"/>
          <w:szCs w:val="22"/>
        </w:rPr>
        <w:t>νατότητα των ελληνικών πιστωτικών ιδρυμάτων να παρέχουν πιστώσεις προς την οικονομία. Επίσης, θετική εξέλιξη αποτελεί και η αποδέσμευση των τραπεζών μετά το</w:t>
      </w:r>
      <w:r w:rsidR="00FE34F3">
        <w:rPr>
          <w:sz w:val="22"/>
          <w:szCs w:val="22"/>
        </w:rPr>
        <w:t>ν</w:t>
      </w:r>
      <w:r w:rsidRPr="003C2760">
        <w:rPr>
          <w:sz w:val="22"/>
          <w:szCs w:val="22"/>
        </w:rPr>
        <w:t xml:space="preserve"> Μάρτιο του 2019 από την πρ</w:t>
      </w:r>
      <w:r w:rsidRPr="003C2760">
        <w:rPr>
          <w:sz w:val="22"/>
          <w:szCs w:val="22"/>
        </w:rPr>
        <w:t>ο</w:t>
      </w:r>
      <w:r w:rsidRPr="003C2760">
        <w:rPr>
          <w:sz w:val="22"/>
          <w:szCs w:val="22"/>
        </w:rPr>
        <w:t xml:space="preserve">σφυγή σε έκτακτη χρηματοδότηση από την κεντρική τράπεζα (ELA). </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lastRenderedPageBreak/>
        <w:t>Η υποχώρηση του υπολοίπου της τραπεζικής χρηματοδότησης προς τα νοικοκυριά, κατά την υπό εξ</w:t>
      </w:r>
      <w:r w:rsidRPr="003C2760">
        <w:rPr>
          <w:sz w:val="22"/>
          <w:szCs w:val="22"/>
        </w:rPr>
        <w:t>έ</w:t>
      </w:r>
      <w:r w:rsidRPr="003C2760">
        <w:rPr>
          <w:sz w:val="22"/>
          <w:szCs w:val="22"/>
        </w:rPr>
        <w:t>ταση περίοδο, συνδέεται με περιορισμούς στην προσφορά δανείων καθώς τα εν λόγω δάνεια συνεχ</w:t>
      </w:r>
      <w:r w:rsidRPr="003C2760">
        <w:rPr>
          <w:sz w:val="22"/>
          <w:szCs w:val="22"/>
        </w:rPr>
        <w:t>ί</w:t>
      </w:r>
      <w:r w:rsidRPr="003C2760">
        <w:rPr>
          <w:sz w:val="22"/>
          <w:szCs w:val="22"/>
        </w:rPr>
        <w:t>ζουν να εμφανίζουν (συγκριτικά με τις επιχειρήσεις) υψηλότερους δείκτες μη εξυπηρετούμενων δ</w:t>
      </w:r>
      <w:r w:rsidRPr="003C2760">
        <w:rPr>
          <w:sz w:val="22"/>
          <w:szCs w:val="22"/>
        </w:rPr>
        <w:t>α</w:t>
      </w:r>
      <w:r w:rsidRPr="003C2760">
        <w:rPr>
          <w:sz w:val="22"/>
          <w:szCs w:val="22"/>
        </w:rPr>
        <w:t>νείων. Η ενίσχυση της χρηματοοικονομικής κατάστασης των νοικοκυριών (κατόπιν της εξέλιξης του επιπέδου απασχόλησης και του διαθέσιμου εισοδήματός τους) επέδρασε αυξητικά στη ζήτηση για δ</w:t>
      </w:r>
      <w:r w:rsidRPr="003C2760">
        <w:rPr>
          <w:sz w:val="22"/>
          <w:szCs w:val="22"/>
        </w:rPr>
        <w:t>ά</w:t>
      </w:r>
      <w:r w:rsidRPr="003C2760">
        <w:rPr>
          <w:sz w:val="22"/>
          <w:szCs w:val="22"/>
        </w:rPr>
        <w:t>νεια από τα νοικοκυριά. Αντίθετα, η άνοδος των επιτοκίων στα δάνεια προς τα νοικοκυριά σε υψηλ</w:t>
      </w:r>
      <w:r w:rsidRPr="003C2760">
        <w:rPr>
          <w:sz w:val="22"/>
          <w:szCs w:val="22"/>
        </w:rPr>
        <w:t>ό</w:t>
      </w:r>
      <w:r w:rsidRPr="003C2760">
        <w:rPr>
          <w:sz w:val="22"/>
          <w:szCs w:val="22"/>
        </w:rPr>
        <w:t xml:space="preserve">τερο μέσο επίπεδο το 2019 επέδρασε αρνητικά στη ζήτηση για τραπεζικές πιστώσεις.  </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Η ενίσχυση των καταθέσεων, ως πηγή άντλησης ρευστότητας εκ μέρους των πιστωτικών ιδρυμάτων και η τήρηση των βασικών επιτοκίων νομισματικής πολιτικής σε εξαιρετικώς χαμηλά επίπεδα συν</w:t>
      </w:r>
      <w:r w:rsidRPr="003C2760">
        <w:rPr>
          <w:sz w:val="22"/>
          <w:szCs w:val="22"/>
        </w:rPr>
        <w:t>έ</w:t>
      </w:r>
      <w:r w:rsidRPr="003C2760">
        <w:rPr>
          <w:sz w:val="22"/>
          <w:szCs w:val="22"/>
        </w:rPr>
        <w:t>βαλαν στο να σταθεροποιηθούν τα επιτόκια των τραπεζικών καταθέσεων στην Ελλάδα σε ιστορικά χαμηλά επίπεδα. Το επιτόκιο των καταθέσεων προθεσμίας, περιλαμβανομένων των καταθέσεων των νοικοκυριών και των μη χρηματοπιστωτικών επιχειρήσεων, διαμορφώθηκε κατά μέσο όρο τους πρ</w:t>
      </w:r>
      <w:r w:rsidRPr="003C2760">
        <w:rPr>
          <w:sz w:val="22"/>
          <w:szCs w:val="22"/>
        </w:rPr>
        <w:t>ώ</w:t>
      </w:r>
      <w:r w:rsidRPr="003C2760">
        <w:rPr>
          <w:sz w:val="22"/>
          <w:szCs w:val="22"/>
        </w:rPr>
        <w:t>τους εννέα μήνες του τρέχοντος έτους σε 0,59%, δηλαδή 5 μονάδες βάσης χαμηλότερα έναντι του μ</w:t>
      </w:r>
      <w:r w:rsidRPr="003C2760">
        <w:rPr>
          <w:sz w:val="22"/>
          <w:szCs w:val="22"/>
        </w:rPr>
        <w:t>έ</w:t>
      </w:r>
      <w:r w:rsidRPr="003C2760">
        <w:rPr>
          <w:sz w:val="22"/>
          <w:szCs w:val="22"/>
        </w:rPr>
        <w:t>σου επιτοκίου του 2018. Σε πραγματικούς όρους</w:t>
      </w:r>
      <w:r w:rsidRPr="003C2760">
        <w:rPr>
          <w:rStyle w:val="a9"/>
          <w:sz w:val="22"/>
          <w:szCs w:val="22"/>
        </w:rPr>
        <w:footnoteReference w:id="38"/>
      </w:r>
      <w:r w:rsidRPr="003C2760">
        <w:rPr>
          <w:sz w:val="22"/>
          <w:szCs w:val="22"/>
        </w:rPr>
        <w:t xml:space="preserve"> το επιτόκιο καταθέσεων προθεσμίας διαμορφώθ</w:t>
      </w:r>
      <w:r w:rsidRPr="003C2760">
        <w:rPr>
          <w:sz w:val="22"/>
          <w:szCs w:val="22"/>
        </w:rPr>
        <w:t>η</w:t>
      </w:r>
      <w:r w:rsidRPr="003C2760">
        <w:rPr>
          <w:sz w:val="22"/>
          <w:szCs w:val="22"/>
        </w:rPr>
        <w:t>κε την υπό εξέταση περίοδο σε 0,03% κατά μέσο όρο, από -0,14% κατά μέσο όρο το 2018.</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 xml:space="preserve">Τα επιτόκια των νέων τραπεζικών δανείων προς τις μη χρηματοπιστωτικές επιχειρήσεις, μετά από </w:t>
      </w:r>
      <w:r w:rsidRPr="003C2760">
        <w:rPr>
          <w:sz w:val="22"/>
          <w:szCs w:val="22"/>
        </w:rPr>
        <w:t>ε</w:t>
      </w:r>
      <w:r w:rsidRPr="003C2760">
        <w:rPr>
          <w:sz w:val="22"/>
          <w:szCs w:val="22"/>
        </w:rPr>
        <w:t>πταετή τάση αποκλιμάκωσης, σταθεροποιήθηκαν σε ιστορικά χαμηλές τιμές το δεύτερο εξάμηνο του 2018 και το τρέχον έτος. Ειδικότερα, το μεσοσταθμικό επιτόκιο των δανείων προς τις μη χρηματοπ</w:t>
      </w:r>
      <w:r w:rsidRPr="003C2760">
        <w:rPr>
          <w:sz w:val="22"/>
          <w:szCs w:val="22"/>
        </w:rPr>
        <w:t>ι</w:t>
      </w:r>
      <w:r w:rsidRPr="003C2760">
        <w:rPr>
          <w:sz w:val="22"/>
          <w:szCs w:val="22"/>
        </w:rPr>
        <w:t>στωτικές επιχειρήσεις διαμορφώθηκε σε 3,99%, κατά μέσο όρο, τους πρώτους εννέα μήνες του 2019 (8 μονάδες βάσης χαμηλότερα έναντι του μέσου επιτοκίου του 2018). Η βελτίωση του οικονομικού κλίματος και των μεγεθών στην αγορά εργασίας συνέβαλαν στο να βελτιωθούν ελαφρώς οι εκτιμήσεις των πιστωτικών ιδρυμάτων όσον αφορά τον πιστωτικό κίνδυνο. Επιπρόσθετα, η μείωση των αποδ</w:t>
      </w:r>
      <w:r w:rsidRPr="003C2760">
        <w:rPr>
          <w:sz w:val="22"/>
          <w:szCs w:val="22"/>
        </w:rPr>
        <w:t>ό</w:t>
      </w:r>
      <w:r w:rsidRPr="003C2760">
        <w:rPr>
          <w:sz w:val="22"/>
          <w:szCs w:val="22"/>
        </w:rPr>
        <w:t>σεων των κρατικών ομολόγων, η άνοδος του υπολοίπου των καταθέσεων και η εξαιρετικά διευκολ</w:t>
      </w:r>
      <w:r w:rsidRPr="003C2760">
        <w:rPr>
          <w:sz w:val="22"/>
          <w:szCs w:val="22"/>
        </w:rPr>
        <w:t>υ</w:t>
      </w:r>
      <w:r w:rsidRPr="003C2760">
        <w:rPr>
          <w:sz w:val="22"/>
          <w:szCs w:val="22"/>
        </w:rPr>
        <w:t>ντική κατεύθυνση της ενιαίας νομισματικής πολιτικής το</w:t>
      </w:r>
      <w:r w:rsidR="00FE34F3">
        <w:rPr>
          <w:sz w:val="22"/>
          <w:szCs w:val="22"/>
        </w:rPr>
        <w:t>υ Ευρωσυστήματος υποβοήθησαν τη</w:t>
      </w:r>
      <w:r w:rsidRPr="003C2760">
        <w:rPr>
          <w:sz w:val="22"/>
          <w:szCs w:val="22"/>
        </w:rPr>
        <w:t xml:space="preserve"> βελτ</w:t>
      </w:r>
      <w:r w:rsidRPr="003C2760">
        <w:rPr>
          <w:sz w:val="22"/>
          <w:szCs w:val="22"/>
        </w:rPr>
        <w:t>ί</w:t>
      </w:r>
      <w:r w:rsidRPr="003C2760">
        <w:rPr>
          <w:sz w:val="22"/>
          <w:szCs w:val="22"/>
        </w:rPr>
        <w:t>ωση των συνθηκών ρευστότητας των πιστωτικών ιδρυμάτων. Στην υποχώρηση του κόστους δανε</w:t>
      </w:r>
      <w:r w:rsidRPr="003C2760">
        <w:rPr>
          <w:sz w:val="22"/>
          <w:szCs w:val="22"/>
        </w:rPr>
        <w:t>ι</w:t>
      </w:r>
      <w:r w:rsidRPr="003C2760">
        <w:rPr>
          <w:sz w:val="22"/>
          <w:szCs w:val="22"/>
        </w:rPr>
        <w:t xml:space="preserve">σμού συνέβαλε η επίδραση των προγραμμάτων χρηματοδότησης εκ μέρους </w:t>
      </w:r>
      <w:r w:rsidR="007701B3">
        <w:rPr>
          <w:sz w:val="22"/>
          <w:szCs w:val="22"/>
        </w:rPr>
        <w:t xml:space="preserve">διεθνών και </w:t>
      </w:r>
      <w:r w:rsidRPr="003C2760">
        <w:rPr>
          <w:sz w:val="22"/>
          <w:szCs w:val="22"/>
        </w:rPr>
        <w:t>δημοσίων φορέων, όπως ο όμιλος της Ευρωπαϊκής Τράπεζας Επενδύσεων (</w:t>
      </w:r>
      <w:r w:rsidRPr="003C2760">
        <w:rPr>
          <w:sz w:val="22"/>
          <w:szCs w:val="22"/>
          <w:lang w:val="en-US"/>
        </w:rPr>
        <w:t>EIB</w:t>
      </w:r>
      <w:r w:rsidRPr="003C2760">
        <w:rPr>
          <w:sz w:val="22"/>
          <w:szCs w:val="22"/>
        </w:rPr>
        <w:t>), η Ευρωπαϊκή Τράπεζα Ανασ</w:t>
      </w:r>
      <w:r w:rsidRPr="003C2760">
        <w:rPr>
          <w:sz w:val="22"/>
          <w:szCs w:val="22"/>
        </w:rPr>
        <w:t>υ</w:t>
      </w:r>
      <w:r w:rsidRPr="003C2760">
        <w:rPr>
          <w:sz w:val="22"/>
          <w:szCs w:val="22"/>
        </w:rPr>
        <w:t>γκρότησης και Ανάπτυξης (</w:t>
      </w:r>
      <w:r w:rsidRPr="003C2760">
        <w:rPr>
          <w:sz w:val="22"/>
          <w:szCs w:val="22"/>
          <w:lang w:val="en-US"/>
        </w:rPr>
        <w:t>EBRD</w:t>
      </w:r>
      <w:r w:rsidRPr="003C2760">
        <w:rPr>
          <w:sz w:val="22"/>
          <w:szCs w:val="22"/>
        </w:rPr>
        <w:t xml:space="preserve">) και το Εθνικό Ταμείο Επιχειρηματικότητας (ΕΤΕΑΝ). </w:t>
      </w:r>
    </w:p>
    <w:p w:rsidR="00044E0E" w:rsidRPr="003C2760" w:rsidRDefault="00044E0E" w:rsidP="00044E0E">
      <w:pPr>
        <w:jc w:val="both"/>
        <w:rPr>
          <w:sz w:val="22"/>
          <w:szCs w:val="22"/>
        </w:rPr>
      </w:pPr>
    </w:p>
    <w:p w:rsidR="00044E0E" w:rsidRPr="003C2760" w:rsidRDefault="00044E0E" w:rsidP="00044E0E">
      <w:pPr>
        <w:jc w:val="both"/>
        <w:rPr>
          <w:sz w:val="22"/>
          <w:szCs w:val="22"/>
        </w:rPr>
      </w:pPr>
      <w:r w:rsidRPr="003C2760">
        <w:rPr>
          <w:sz w:val="22"/>
          <w:szCs w:val="22"/>
        </w:rPr>
        <w:t>Αντίθετα με τις επιχειρήσεις, το κόστος τραπεζικού δανεισμού προς τα νοικοκυριά αυξήθηκε το 2019 έναντι του 2018. Το μεσοσταθμικό επιτόκιο των δανείων προς τα νοικοκυριά διαμορφώθηκε σε 5,15% κατά μέσο όρο (6 μονάδες βάσης υψηλότερα από το αντίστοιχο μέσο επιτόκιο του 2018). Στην άνοδο του κόστους τραπεζικού δανεισμού προς τα νοικοκυριά συνέβαλαν από κοινού οι δύο συν</w:t>
      </w:r>
      <w:r w:rsidRPr="003C2760">
        <w:rPr>
          <w:sz w:val="22"/>
          <w:szCs w:val="22"/>
        </w:rPr>
        <w:t>ι</w:t>
      </w:r>
      <w:r w:rsidRPr="003C2760">
        <w:rPr>
          <w:sz w:val="22"/>
          <w:szCs w:val="22"/>
        </w:rPr>
        <w:t>στώσες του, δηλαδή τα επιτόκια των στεγαστικών και καταναλωτικών δανείων. Το υψηλό ποσοστό των δανείων σε καθυστέρηση στις παραπάνω κατηγορίες δικαιολογεί την εκτίμηση ότι ο πιστωτικός κίνδυνος παραμένει σημαντικός.</w:t>
      </w:r>
    </w:p>
    <w:p w:rsidR="00044E0E" w:rsidRPr="003C2760" w:rsidRDefault="00044E0E" w:rsidP="00044E0E">
      <w:pPr>
        <w:jc w:val="both"/>
        <w:rPr>
          <w:sz w:val="22"/>
          <w:szCs w:val="22"/>
          <w:highlight w:val="yellow"/>
        </w:rPr>
      </w:pPr>
      <w:r w:rsidRPr="003C2760">
        <w:rPr>
          <w:sz w:val="22"/>
          <w:szCs w:val="22"/>
        </w:rPr>
        <w:t xml:space="preserve"> </w:t>
      </w:r>
    </w:p>
    <w:p w:rsidR="00044E0E" w:rsidRPr="003C2760" w:rsidRDefault="00044E0E" w:rsidP="00044E0E">
      <w:pPr>
        <w:jc w:val="both"/>
        <w:rPr>
          <w:sz w:val="22"/>
          <w:szCs w:val="22"/>
        </w:rPr>
      </w:pPr>
      <w:r w:rsidRPr="003C2760">
        <w:rPr>
          <w:sz w:val="22"/>
          <w:szCs w:val="22"/>
        </w:rPr>
        <w:t>Σε πραγματικούς όρους, τα επιτόκια των τραπεζικών δανείων ενισχύθηκαν το 2019. Το πραγματικό επιτόκιο των δανείων προς τις μη χρηματοπιστωτικές επιχειρήσεις και τα νοικοκυριά διαμορφώθηκε αντίστοιχα σε 3,44% και 4,59%, κατά μέσο όρο, την περίοδο Ιανουαρίου-Σεπτεμβρίου του 2019 (</w:t>
      </w:r>
      <w:r w:rsidRPr="003C2760">
        <w:rPr>
          <w:sz w:val="22"/>
          <w:szCs w:val="22"/>
        </w:rPr>
        <w:t>υ</w:t>
      </w:r>
      <w:r w:rsidRPr="003C2760">
        <w:rPr>
          <w:sz w:val="22"/>
          <w:szCs w:val="22"/>
        </w:rPr>
        <w:t>ψηλότερα κατά 14 και 28 μονάδες βάσης αντίστοιχα έναντι του μέσου όρου του 2018).</w:t>
      </w:r>
    </w:p>
    <w:p w:rsidR="00E0182E" w:rsidRDefault="00E0182E" w:rsidP="00E0182E">
      <w:pPr>
        <w:ind w:right="-144"/>
        <w:jc w:val="both"/>
        <w:rPr>
          <w:sz w:val="22"/>
          <w:szCs w:val="22"/>
        </w:rPr>
      </w:pPr>
    </w:p>
    <w:p w:rsidR="0069116C" w:rsidRPr="00D21DE7" w:rsidRDefault="0069116C" w:rsidP="00D21DE7">
      <w:pPr>
        <w:jc w:val="both"/>
        <w:rPr>
          <w:rFonts w:ascii="Arial Narrow" w:hAnsi="Arial Narrow"/>
          <w:b/>
          <w:bCs/>
          <w:i/>
          <w:sz w:val="22"/>
          <w:szCs w:val="22"/>
        </w:rPr>
      </w:pPr>
      <w:r w:rsidRPr="00D21DE7">
        <w:rPr>
          <w:rFonts w:ascii="Arial Narrow" w:hAnsi="Arial Narrow"/>
          <w:b/>
          <w:bCs/>
          <w:i/>
          <w:sz w:val="22"/>
          <w:szCs w:val="22"/>
        </w:rPr>
        <w:t>Ισοζύγιο τρεχουσών συναλλαγών</w:t>
      </w:r>
    </w:p>
    <w:p w:rsidR="00571E40" w:rsidRPr="00D21DE7" w:rsidRDefault="00571E40" w:rsidP="00D21DE7">
      <w:pPr>
        <w:jc w:val="both"/>
        <w:rPr>
          <w:rFonts w:ascii="Arial Narrow" w:hAnsi="Arial Narrow"/>
          <w:b/>
          <w:bCs/>
          <w:i/>
          <w:sz w:val="22"/>
          <w:szCs w:val="22"/>
        </w:rPr>
      </w:pPr>
      <w:r w:rsidRPr="00D21DE7">
        <w:rPr>
          <w:rFonts w:ascii="Arial Narrow" w:hAnsi="Arial Narrow"/>
          <w:b/>
          <w:bCs/>
          <w:i/>
          <w:sz w:val="22"/>
          <w:szCs w:val="22"/>
        </w:rPr>
        <w:t xml:space="preserve"> </w:t>
      </w:r>
    </w:p>
    <w:p w:rsidR="00571E40" w:rsidRDefault="00571E40" w:rsidP="00571E40">
      <w:pPr>
        <w:tabs>
          <w:tab w:val="left" w:pos="851"/>
          <w:tab w:val="left" w:pos="4680"/>
          <w:tab w:val="left" w:pos="8100"/>
        </w:tabs>
        <w:jc w:val="both"/>
        <w:rPr>
          <w:sz w:val="22"/>
        </w:rPr>
      </w:pPr>
      <w:r w:rsidRPr="00455CFF">
        <w:rPr>
          <w:sz w:val="22"/>
          <w:szCs w:val="22"/>
        </w:rPr>
        <w:t>Το ισοζύγιο τρεχουσών συναλλαγών, την περίοδο Ιανουαρίου-Σεπτεμβρίου 2019, είναι σχεδόν ισ</w:t>
      </w:r>
      <w:r w:rsidRPr="00455CFF">
        <w:rPr>
          <w:sz w:val="22"/>
          <w:szCs w:val="22"/>
        </w:rPr>
        <w:t>ο</w:t>
      </w:r>
      <w:r w:rsidRPr="00455CFF">
        <w:rPr>
          <w:sz w:val="22"/>
          <w:szCs w:val="22"/>
        </w:rPr>
        <w:t>σκελισμένο. Η βελτίωση σε σχέση με το ίδιο διάστημα του 2018 οφείλεται στη σημαντική αύξηση του πλεονάσματος του ισοζυγίου υπηρεσιών και στη βελτίωση των ισοζυγίων πρωτογενών και δευτερογ</w:t>
      </w:r>
      <w:r w:rsidRPr="00455CFF">
        <w:rPr>
          <w:sz w:val="22"/>
          <w:szCs w:val="22"/>
        </w:rPr>
        <w:t>ε</w:t>
      </w:r>
      <w:r w:rsidRPr="00455CFF">
        <w:rPr>
          <w:sz w:val="22"/>
          <w:szCs w:val="22"/>
        </w:rPr>
        <w:t xml:space="preserve">νών εισοδημάτων, οι οποίες αντιστάθμισαν τη διεύρυνση του ελλείμματος του ισοζυγίου αγαθών. </w:t>
      </w:r>
    </w:p>
    <w:p w:rsidR="00571E40" w:rsidRPr="00455CFF" w:rsidRDefault="00571E40" w:rsidP="00571E40">
      <w:pPr>
        <w:tabs>
          <w:tab w:val="left" w:pos="851"/>
          <w:tab w:val="left" w:pos="4680"/>
          <w:tab w:val="left" w:pos="8100"/>
        </w:tabs>
        <w:jc w:val="both"/>
        <w:rPr>
          <w:sz w:val="22"/>
          <w:szCs w:val="22"/>
        </w:rPr>
      </w:pPr>
    </w:p>
    <w:p w:rsidR="00571E40" w:rsidRDefault="00571E40" w:rsidP="00571E40">
      <w:pPr>
        <w:tabs>
          <w:tab w:val="left" w:pos="851"/>
          <w:tab w:val="left" w:pos="4680"/>
          <w:tab w:val="left" w:pos="8100"/>
        </w:tabs>
        <w:jc w:val="both"/>
        <w:rPr>
          <w:sz w:val="22"/>
        </w:rPr>
      </w:pPr>
      <w:r w:rsidRPr="00455CFF">
        <w:rPr>
          <w:sz w:val="22"/>
          <w:szCs w:val="22"/>
        </w:rPr>
        <w:t xml:space="preserve">Το ισοζύγιο αγαθών εμφάνισε έλλειμμα </w:t>
      </w:r>
      <w:r w:rsidR="00811576">
        <w:rPr>
          <w:sz w:val="22"/>
          <w:szCs w:val="22"/>
        </w:rPr>
        <w:t xml:space="preserve">της τάξης των </w:t>
      </w:r>
      <w:r w:rsidRPr="00455CFF">
        <w:rPr>
          <w:sz w:val="22"/>
          <w:szCs w:val="22"/>
        </w:rPr>
        <w:t>901 εκατ. ευρώ, μεγαλύτερο σε σχέση με εκε</w:t>
      </w:r>
      <w:r w:rsidRPr="00455CFF">
        <w:rPr>
          <w:sz w:val="22"/>
          <w:szCs w:val="22"/>
        </w:rPr>
        <w:t>ί</w:t>
      </w:r>
      <w:r w:rsidRPr="00455CFF">
        <w:rPr>
          <w:sz w:val="22"/>
          <w:szCs w:val="22"/>
        </w:rPr>
        <w:t>νο της ίδιας περιόδου του 2018 και διαμορφώθηκε σε 17,5</w:t>
      </w:r>
      <w:r>
        <w:rPr>
          <w:sz w:val="22"/>
        </w:rPr>
        <w:t xml:space="preserve"> δισ</w:t>
      </w:r>
      <w:r w:rsidRPr="00455CFF">
        <w:rPr>
          <w:sz w:val="22"/>
          <w:szCs w:val="22"/>
        </w:rPr>
        <w:t>. ευρώ. Η εξέλιξη αυτή ήταν αποτέλ</w:t>
      </w:r>
      <w:r w:rsidRPr="00455CFF">
        <w:rPr>
          <w:sz w:val="22"/>
          <w:szCs w:val="22"/>
        </w:rPr>
        <w:t>ε</w:t>
      </w:r>
      <w:r w:rsidRPr="00455CFF">
        <w:rPr>
          <w:sz w:val="22"/>
          <w:szCs w:val="22"/>
        </w:rPr>
        <w:lastRenderedPageBreak/>
        <w:t xml:space="preserve">σμα του περιορισμού του ρυθμού ανόδου </w:t>
      </w:r>
      <w:r w:rsidR="00811576">
        <w:rPr>
          <w:sz w:val="22"/>
          <w:szCs w:val="22"/>
        </w:rPr>
        <w:t>των εξαγωγών σε συνδυασμό με τη</w:t>
      </w:r>
      <w:r w:rsidRPr="00455CFF">
        <w:rPr>
          <w:sz w:val="22"/>
          <w:szCs w:val="22"/>
        </w:rPr>
        <w:t xml:space="preserve"> συνεχιζόμενη, αν και με βραδύτερο ρυθμό, αύξηση των εισαγωγών. Η επιβράδυνση των εξαγωγών οφείλεται κυρίως στη με</w:t>
      </w:r>
      <w:r w:rsidRPr="00455CFF">
        <w:rPr>
          <w:sz w:val="22"/>
          <w:szCs w:val="22"/>
        </w:rPr>
        <w:t>ί</w:t>
      </w:r>
      <w:r w:rsidRPr="00455CFF">
        <w:rPr>
          <w:sz w:val="22"/>
          <w:szCs w:val="22"/>
        </w:rPr>
        <w:t>ωση των εξαγωγών καυσίμων, ενώ οι εξαγωγές χωρίς καύσιμα συνέχισαν την ανοδική τους πορεία, αν και με βραδύτερο ρυθμό από τον αντίστοιχο περυσινό (5% το πρώτο εννεάμηνο του 2019, σε σταθ</w:t>
      </w:r>
      <w:r w:rsidRPr="00455CFF">
        <w:rPr>
          <w:sz w:val="22"/>
          <w:szCs w:val="22"/>
        </w:rPr>
        <w:t>ε</w:t>
      </w:r>
      <w:r w:rsidRPr="00455CFF">
        <w:rPr>
          <w:sz w:val="22"/>
          <w:szCs w:val="22"/>
        </w:rPr>
        <w:t>ρές τιμές, έναντι 11% το 2018). Στην άνοδο των εξαγωγών χωρίς καύσιμα τη μεγαλύτερη συμβολή είχαν οι κλάδοι των κλωστοϋφαντουργικών, των φαρμακευτικών και του μηχανολογικού εξοπλισμού. Όσον αφορά τη γεωγραφική κατανομή, τη μεγαλύτερη συμβολή στην άνοδο των εξαγωγών χωρίς καύσιμα είχαν οι εξαγωγές στην ΕΕ.</w:t>
      </w:r>
      <w:r w:rsidRPr="00455CFF">
        <w:rPr>
          <w:rStyle w:val="a9"/>
          <w:sz w:val="22"/>
          <w:szCs w:val="22"/>
        </w:rPr>
        <w:footnoteReference w:id="39"/>
      </w:r>
      <w:r w:rsidRPr="00455CFF">
        <w:rPr>
          <w:sz w:val="22"/>
          <w:szCs w:val="22"/>
        </w:rPr>
        <w:t xml:space="preserve"> Οι συνολικές εισαγωγές αγαθών επίσης επιβραδύνθηκαν σε σχέση με το 2018, ενώ ειδικότερα, οι εισαγωγές καυσίμων σημείωσαν πτώση. Παράλληλα, στην α</w:t>
      </w:r>
      <w:r w:rsidRPr="00455CFF">
        <w:rPr>
          <w:sz w:val="22"/>
          <w:szCs w:val="22"/>
        </w:rPr>
        <w:t>ύ</w:t>
      </w:r>
      <w:r w:rsidRPr="00455CFF">
        <w:rPr>
          <w:sz w:val="22"/>
          <w:szCs w:val="22"/>
        </w:rPr>
        <w:t>ξηση των εισαγωγών αγαθών χωρίς καύσιμα η μεγαλύτερη συμβολή προέρχεται από τους κλάδους των χημικών, του μηχανολογικού εξοπλισμού και των κλωστοϋφαντουργικών προϊόντων, τα οποία αντιπροσωπεύουν κυρίως ενδιάμεσα και διαρκή καταναλωτικά αγαθά.</w:t>
      </w:r>
      <w:r>
        <w:rPr>
          <w:sz w:val="22"/>
        </w:rPr>
        <w:t xml:space="preserve"> </w:t>
      </w:r>
    </w:p>
    <w:p w:rsidR="00571E40" w:rsidRPr="00455CFF" w:rsidRDefault="00571E40" w:rsidP="00571E40">
      <w:pPr>
        <w:tabs>
          <w:tab w:val="left" w:pos="851"/>
          <w:tab w:val="left" w:pos="4680"/>
          <w:tab w:val="left" w:pos="8100"/>
        </w:tabs>
        <w:jc w:val="both"/>
        <w:rPr>
          <w:sz w:val="22"/>
          <w:szCs w:val="22"/>
        </w:rPr>
      </w:pPr>
    </w:p>
    <w:p w:rsidR="00571E40" w:rsidRDefault="00571E40" w:rsidP="00571E40">
      <w:pPr>
        <w:jc w:val="both"/>
        <w:rPr>
          <w:sz w:val="22"/>
        </w:rPr>
      </w:pPr>
      <w:r w:rsidRPr="00455CFF">
        <w:rPr>
          <w:sz w:val="22"/>
          <w:szCs w:val="22"/>
        </w:rPr>
        <w:t>Η αύξηση του πλεονάσματος του ισοζυγίου υπηρεσιών οφείλεται στη βελτίωση πρωτίστως του ισοζ</w:t>
      </w:r>
      <w:r w:rsidRPr="00455CFF">
        <w:rPr>
          <w:sz w:val="22"/>
          <w:szCs w:val="22"/>
        </w:rPr>
        <w:t>υ</w:t>
      </w:r>
      <w:r w:rsidRPr="00455CFF">
        <w:rPr>
          <w:sz w:val="22"/>
          <w:szCs w:val="22"/>
        </w:rPr>
        <w:t>γίου ταξιδιωτικών υπηρεσιών και δευτερευόντως του ισοζυγίου μεταφορών και λοιπών υπηρεσιών. Οι εισπράξεις από ταξιδιωτικές υπηρεσίες και οι αφίξεις μη κατοίκων ταξιδιωτών αυξήθηκαν κατά 14% και 3,8% σε σχέση με την αντίστοιχη περίοδο του 2018. Σημειώνεται ότι, ο ρυθμός αύξησης των αφ</w:t>
      </w:r>
      <w:r w:rsidRPr="00455CFF">
        <w:rPr>
          <w:sz w:val="22"/>
          <w:szCs w:val="22"/>
        </w:rPr>
        <w:t>ί</w:t>
      </w:r>
      <w:r w:rsidRPr="00455CFF">
        <w:rPr>
          <w:sz w:val="22"/>
          <w:szCs w:val="22"/>
        </w:rPr>
        <w:t>ξεων έχει περιοριστεί σε σχέση με το ίδιο διάστημα του προηγούμενου έτους, αλλά έχει αυξηθεί σ</w:t>
      </w:r>
      <w:r w:rsidRPr="00455CFF">
        <w:rPr>
          <w:sz w:val="22"/>
          <w:szCs w:val="22"/>
        </w:rPr>
        <w:t>η</w:t>
      </w:r>
      <w:r w:rsidRPr="00455CFF">
        <w:rPr>
          <w:sz w:val="22"/>
          <w:szCs w:val="22"/>
        </w:rPr>
        <w:t xml:space="preserve">μαντικά (κατά 10% </w:t>
      </w:r>
      <w:r w:rsidRPr="00455CFF">
        <w:rPr>
          <w:rStyle w:val="a9"/>
          <w:sz w:val="22"/>
          <w:szCs w:val="22"/>
        </w:rPr>
        <w:footnoteReference w:id="40"/>
      </w:r>
      <w:r w:rsidRPr="00455CFF">
        <w:rPr>
          <w:sz w:val="22"/>
          <w:szCs w:val="22"/>
        </w:rPr>
        <w:t>) η μέση δαπάνη ανά ταξίδι. Οι εισπράξεις από μεταφορές, κυρίως θαλάσσιες, αυξήθηκαν κατά 5,2%. Η συνεχιζόμενη άνοδος του μέσου επιπέδου των ναύλων κατά 14,7% - σύ</w:t>
      </w:r>
      <w:r w:rsidRPr="00455CFF">
        <w:rPr>
          <w:sz w:val="22"/>
          <w:szCs w:val="22"/>
        </w:rPr>
        <w:t>μ</w:t>
      </w:r>
      <w:r w:rsidRPr="00455CFF">
        <w:rPr>
          <w:sz w:val="22"/>
          <w:szCs w:val="22"/>
        </w:rPr>
        <w:t>φωνα με το δείκτη ClarkSea Index - συνέβαλε στην αύξηση των εισπράξεων από υπηρεσίες θαλάσσ</w:t>
      </w:r>
      <w:r w:rsidRPr="00455CFF">
        <w:rPr>
          <w:sz w:val="22"/>
          <w:szCs w:val="22"/>
        </w:rPr>
        <w:t>ι</w:t>
      </w:r>
      <w:r w:rsidRPr="00455CFF">
        <w:rPr>
          <w:sz w:val="22"/>
          <w:szCs w:val="22"/>
        </w:rPr>
        <w:t>ων μεταφορών κατά 5,2%.</w:t>
      </w:r>
    </w:p>
    <w:p w:rsidR="00571E40" w:rsidRPr="00455CFF" w:rsidRDefault="00571E40" w:rsidP="00571E40">
      <w:pPr>
        <w:jc w:val="both"/>
        <w:rPr>
          <w:sz w:val="22"/>
          <w:szCs w:val="22"/>
        </w:rPr>
      </w:pPr>
    </w:p>
    <w:p w:rsidR="00571E40" w:rsidRPr="00455CFF" w:rsidRDefault="00571E40" w:rsidP="00571E40">
      <w:pPr>
        <w:jc w:val="both"/>
        <w:rPr>
          <w:sz w:val="22"/>
          <w:szCs w:val="22"/>
        </w:rPr>
      </w:pPr>
      <w:r w:rsidRPr="00455CFF">
        <w:rPr>
          <w:sz w:val="22"/>
          <w:szCs w:val="22"/>
        </w:rPr>
        <w:t xml:space="preserve">Το έλλειμμα του ισοζυγίου πρωτογενών εισοδημάτων περιορίστηκε κυρίως λόγω της μείωσης των πληρωμών για τόκους, που σχετίζονται με τα δάνεια του μηχανισμού στήριξης, ενώ το πλεόνασμα του ισοζυγίου δευτερογενών εισοδημάτων σημείωσε σημαντική αύξηση, που οφείλεται κυρίως στην </w:t>
      </w:r>
      <w:r w:rsidRPr="00455CFF">
        <w:rPr>
          <w:sz w:val="22"/>
          <w:szCs w:val="22"/>
        </w:rPr>
        <w:t>ε</w:t>
      </w:r>
      <w:r w:rsidRPr="00455CFF">
        <w:rPr>
          <w:sz w:val="22"/>
          <w:szCs w:val="22"/>
        </w:rPr>
        <w:t xml:space="preserve">κταμίευση από τον Ευρωπαϊκό Μηχανισμό Στήριξης (ESM) του ποσού των 644,4 εκατ. ευρώ που </w:t>
      </w:r>
      <w:r w:rsidRPr="00455CFF">
        <w:rPr>
          <w:sz w:val="22"/>
          <w:szCs w:val="22"/>
        </w:rPr>
        <w:t>α</w:t>
      </w:r>
      <w:r w:rsidRPr="00455CFF">
        <w:rPr>
          <w:sz w:val="22"/>
          <w:szCs w:val="22"/>
        </w:rPr>
        <w:t>φορά την έγκριση της επιστροφής των κερδών από τα ελληνικά ομόλογα (ANFA/SMP), καθώς και των 103 εκατ. ευρώ από την επιστροφή του περιθωρίου επιτοκίου (step-up margin). Τέλος το πλεόν</w:t>
      </w:r>
      <w:r w:rsidRPr="00455CFF">
        <w:rPr>
          <w:sz w:val="22"/>
          <w:szCs w:val="22"/>
        </w:rPr>
        <w:t>α</w:t>
      </w:r>
      <w:r w:rsidRPr="00455CFF">
        <w:rPr>
          <w:sz w:val="22"/>
          <w:szCs w:val="22"/>
        </w:rPr>
        <w:t>σμα του ισοζυγίου κεφαλαίων παρουσίασε άνοδο σε σχέση με την αντίστοιχη περίοδο του 2018.</w:t>
      </w:r>
      <w:r w:rsidRPr="00455CFF">
        <w:rPr>
          <w:rStyle w:val="a9"/>
          <w:sz w:val="22"/>
          <w:szCs w:val="22"/>
        </w:rPr>
        <w:footnoteReference w:id="41"/>
      </w:r>
    </w:p>
    <w:p w:rsidR="00571E40" w:rsidRPr="00455CFF" w:rsidRDefault="00571E40" w:rsidP="00571E40">
      <w:pPr>
        <w:tabs>
          <w:tab w:val="left" w:pos="851"/>
          <w:tab w:val="left" w:pos="4680"/>
          <w:tab w:val="left" w:pos="8100"/>
        </w:tabs>
        <w:jc w:val="both"/>
        <w:rPr>
          <w:sz w:val="22"/>
          <w:szCs w:val="22"/>
        </w:rPr>
      </w:pPr>
    </w:p>
    <w:p w:rsidR="00571E40" w:rsidRPr="00D21DE7" w:rsidRDefault="00571E40" w:rsidP="00D21DE7">
      <w:pPr>
        <w:jc w:val="both"/>
        <w:rPr>
          <w:rFonts w:ascii="Arial Narrow" w:hAnsi="Arial Narrow"/>
          <w:b/>
          <w:bCs/>
          <w:i/>
          <w:sz w:val="22"/>
          <w:szCs w:val="22"/>
        </w:rPr>
      </w:pPr>
      <w:r w:rsidRPr="00D21DE7">
        <w:rPr>
          <w:rFonts w:ascii="Arial Narrow" w:hAnsi="Arial Narrow"/>
          <w:b/>
          <w:bCs/>
          <w:i/>
          <w:sz w:val="22"/>
          <w:szCs w:val="22"/>
        </w:rPr>
        <w:t>Ισοζύγιο χρηματοοικονομικών συναλλαγών</w:t>
      </w:r>
    </w:p>
    <w:p w:rsidR="00571E40" w:rsidRPr="00455CFF" w:rsidRDefault="00571E40" w:rsidP="00571E40">
      <w:pPr>
        <w:pStyle w:val="Web"/>
        <w:shd w:val="clear" w:color="auto" w:fill="FFFFFF"/>
        <w:spacing w:before="0" w:beforeAutospacing="0" w:after="0" w:afterAutospacing="0"/>
        <w:jc w:val="both"/>
        <w:rPr>
          <w:b/>
          <w:sz w:val="22"/>
          <w:szCs w:val="22"/>
          <w:u w:val="single"/>
        </w:rPr>
      </w:pPr>
    </w:p>
    <w:p w:rsidR="00571E40" w:rsidRDefault="00571E40" w:rsidP="00571E40">
      <w:pPr>
        <w:tabs>
          <w:tab w:val="left" w:pos="851"/>
        </w:tabs>
        <w:jc w:val="both"/>
        <w:rPr>
          <w:sz w:val="22"/>
        </w:rPr>
      </w:pPr>
      <w:r w:rsidRPr="00455CFF">
        <w:rPr>
          <w:sz w:val="22"/>
          <w:szCs w:val="22"/>
        </w:rPr>
        <w:t>Την περίοδο Ιανουαρίου-Σεπτεμβρίου 2019, στην κατηγορία των άμεσων επενδύσεων, οι καθαρές απαιτήσεις των κατοίκων έναντι του εξωτερικού σημείωσαν αύξηση κατά 273 εκατ. ευρώ και οι κ</w:t>
      </w:r>
      <w:r w:rsidRPr="00455CFF">
        <w:rPr>
          <w:sz w:val="22"/>
          <w:szCs w:val="22"/>
        </w:rPr>
        <w:t>α</w:t>
      </w:r>
      <w:r w:rsidRPr="00455CFF">
        <w:rPr>
          <w:sz w:val="22"/>
          <w:szCs w:val="22"/>
        </w:rPr>
        <w:t>θαρές υποχρεώσεις τους έναντι του εξωτερικού, οι οποίες αντιστοιχούν σε άμεσες επενδύσεις μη κ</w:t>
      </w:r>
      <w:r w:rsidRPr="00455CFF">
        <w:rPr>
          <w:sz w:val="22"/>
          <w:szCs w:val="22"/>
        </w:rPr>
        <w:t>α</w:t>
      </w:r>
      <w:r w:rsidRPr="00455CFF">
        <w:rPr>
          <w:sz w:val="22"/>
          <w:szCs w:val="22"/>
        </w:rPr>
        <w:t>τοίκων</w:t>
      </w:r>
      <w:r>
        <w:rPr>
          <w:sz w:val="22"/>
        </w:rPr>
        <w:t xml:space="preserve"> </w:t>
      </w:r>
      <w:r w:rsidRPr="00455CFF">
        <w:rPr>
          <w:sz w:val="22"/>
          <w:szCs w:val="22"/>
        </w:rPr>
        <w:t xml:space="preserve">στην Ελλάδα, κατέγραψαν αύξηση κατά 2,6 </w:t>
      </w:r>
      <w:r>
        <w:rPr>
          <w:sz w:val="22"/>
        </w:rPr>
        <w:t>δισ</w:t>
      </w:r>
      <w:r w:rsidRPr="00455CFF">
        <w:rPr>
          <w:sz w:val="22"/>
          <w:szCs w:val="22"/>
        </w:rPr>
        <w:t>.</w:t>
      </w:r>
      <w:r>
        <w:rPr>
          <w:sz w:val="22"/>
        </w:rPr>
        <w:t xml:space="preserve"> </w:t>
      </w:r>
      <w:r w:rsidRPr="00455CFF">
        <w:rPr>
          <w:sz w:val="22"/>
          <w:szCs w:val="22"/>
        </w:rPr>
        <w:t>ευρώ.</w:t>
      </w:r>
    </w:p>
    <w:p w:rsidR="00571E40" w:rsidRPr="00455CFF" w:rsidRDefault="00571E40" w:rsidP="00571E40">
      <w:pPr>
        <w:tabs>
          <w:tab w:val="left" w:pos="851"/>
        </w:tabs>
        <w:jc w:val="both"/>
        <w:rPr>
          <w:sz w:val="22"/>
          <w:szCs w:val="22"/>
        </w:rPr>
      </w:pPr>
    </w:p>
    <w:p w:rsidR="00571E40" w:rsidRDefault="00571E40" w:rsidP="00571E40">
      <w:pPr>
        <w:tabs>
          <w:tab w:val="left" w:pos="851"/>
        </w:tabs>
        <w:jc w:val="both"/>
        <w:rPr>
          <w:sz w:val="22"/>
        </w:rPr>
      </w:pPr>
      <w:r w:rsidRPr="00455CFF">
        <w:rPr>
          <w:sz w:val="22"/>
          <w:szCs w:val="22"/>
        </w:rPr>
        <w:t>Στις επενδύσεις χαρτοφυλακίου, η καθαρή αύξηση των απαιτήσεων των κατοίκων έναντι του εξωτ</w:t>
      </w:r>
      <w:r w:rsidRPr="00455CFF">
        <w:rPr>
          <w:sz w:val="22"/>
          <w:szCs w:val="22"/>
        </w:rPr>
        <w:t>ε</w:t>
      </w:r>
      <w:r w:rsidRPr="00455CFF">
        <w:rPr>
          <w:sz w:val="22"/>
          <w:szCs w:val="22"/>
        </w:rPr>
        <w:t xml:space="preserve">ρικού οφείλεται κυρίως στην αύξηση (κατά 24,5 </w:t>
      </w:r>
      <w:r>
        <w:rPr>
          <w:sz w:val="22"/>
        </w:rPr>
        <w:t>δισ</w:t>
      </w:r>
      <w:r w:rsidRPr="00455CFF">
        <w:rPr>
          <w:sz w:val="22"/>
          <w:szCs w:val="22"/>
        </w:rPr>
        <w:t xml:space="preserve">. ευρώ) των τοποθετήσεων κατοίκων σε ομόλογα και έντοκα γραμμάτια του εξωτερικού (περιλαμβάνεται και τιτλοποίηση δανείων). Η καθαρή αύξηση των υποχρεώσεών τους οφείλεται στην αύξηση (κατά 3,9 </w:t>
      </w:r>
      <w:r>
        <w:rPr>
          <w:sz w:val="22"/>
        </w:rPr>
        <w:t>δισ</w:t>
      </w:r>
      <w:r w:rsidRPr="00455CFF">
        <w:rPr>
          <w:sz w:val="22"/>
          <w:szCs w:val="22"/>
        </w:rPr>
        <w:t>.</w:t>
      </w:r>
      <w:r>
        <w:rPr>
          <w:sz w:val="22"/>
        </w:rPr>
        <w:t xml:space="preserve"> </w:t>
      </w:r>
      <w:r w:rsidRPr="00455CFF">
        <w:rPr>
          <w:sz w:val="22"/>
          <w:szCs w:val="22"/>
        </w:rPr>
        <w:t>ευρώ) των τοποθετήσεων μη κατοίκων σε ομόλογα και έντοκα γραμμάτια του Ελληνικού Δημοσίου.</w:t>
      </w:r>
    </w:p>
    <w:p w:rsidR="00571E40" w:rsidRPr="00455CFF" w:rsidRDefault="00571E40" w:rsidP="00571E40">
      <w:pPr>
        <w:tabs>
          <w:tab w:val="left" w:pos="851"/>
        </w:tabs>
        <w:jc w:val="both"/>
        <w:rPr>
          <w:sz w:val="22"/>
          <w:szCs w:val="22"/>
        </w:rPr>
      </w:pPr>
    </w:p>
    <w:p w:rsidR="00571E40" w:rsidRDefault="00571E40" w:rsidP="00571E40">
      <w:pPr>
        <w:tabs>
          <w:tab w:val="left" w:pos="851"/>
        </w:tabs>
        <w:jc w:val="both"/>
        <w:rPr>
          <w:sz w:val="22"/>
        </w:rPr>
      </w:pPr>
      <w:r w:rsidRPr="00455CFF">
        <w:rPr>
          <w:sz w:val="22"/>
          <w:szCs w:val="22"/>
        </w:rPr>
        <w:t xml:space="preserve">Στην κατηγορία των λοιπών επενδύσεων, η καθαρή αύξηση των απαιτήσεων των κατοίκων έναντι του εξωτερικού οφείλεται κυρίως στη στατιστική προσαρμογή (4,0 </w:t>
      </w:r>
      <w:r>
        <w:rPr>
          <w:sz w:val="22"/>
        </w:rPr>
        <w:t>δισ</w:t>
      </w:r>
      <w:r w:rsidRPr="00455CFF">
        <w:rPr>
          <w:sz w:val="22"/>
          <w:szCs w:val="22"/>
        </w:rPr>
        <w:t>.</w:t>
      </w:r>
      <w:r>
        <w:rPr>
          <w:sz w:val="22"/>
        </w:rPr>
        <w:t xml:space="preserve"> </w:t>
      </w:r>
      <w:r w:rsidRPr="00455CFF">
        <w:rPr>
          <w:sz w:val="22"/>
          <w:szCs w:val="22"/>
        </w:rPr>
        <w:t>ευρώ)</w:t>
      </w:r>
      <w:r>
        <w:rPr>
          <w:sz w:val="22"/>
        </w:rPr>
        <w:t xml:space="preserve"> </w:t>
      </w:r>
      <w:r w:rsidRPr="00455CFF">
        <w:rPr>
          <w:sz w:val="22"/>
          <w:szCs w:val="22"/>
        </w:rPr>
        <w:t>που συνδέεται με τη δι</w:t>
      </w:r>
      <w:r w:rsidRPr="00455CFF">
        <w:rPr>
          <w:sz w:val="22"/>
          <w:szCs w:val="22"/>
        </w:rPr>
        <w:t>α</w:t>
      </w:r>
      <w:r w:rsidRPr="00455CFF">
        <w:rPr>
          <w:sz w:val="22"/>
          <w:szCs w:val="22"/>
        </w:rPr>
        <w:t xml:space="preserve">κράτηση τραπεζογραμματίων, η οποία αντισταθμίστηκε μερικώς από τη μείωση (κατά 3,5 </w:t>
      </w:r>
      <w:r>
        <w:rPr>
          <w:sz w:val="22"/>
        </w:rPr>
        <w:t>δισ</w:t>
      </w:r>
      <w:r w:rsidRPr="00455CFF">
        <w:rPr>
          <w:sz w:val="22"/>
          <w:szCs w:val="22"/>
        </w:rPr>
        <w:t>.</w:t>
      </w:r>
      <w:r>
        <w:rPr>
          <w:sz w:val="22"/>
        </w:rPr>
        <w:t xml:space="preserve"> </w:t>
      </w:r>
      <w:r w:rsidRPr="00455CFF">
        <w:rPr>
          <w:sz w:val="22"/>
          <w:szCs w:val="22"/>
        </w:rPr>
        <w:t xml:space="preserve">ευρώ) </w:t>
      </w:r>
      <w:r w:rsidRPr="00455CFF">
        <w:rPr>
          <w:sz w:val="22"/>
          <w:szCs w:val="22"/>
        </w:rPr>
        <w:lastRenderedPageBreak/>
        <w:t>των τοποθετήσεων κατοίκων σε καταθέσεις και repos στο εξωτερικό. Η καθαρή αύξηση των υπ</w:t>
      </w:r>
      <w:r w:rsidRPr="00455CFF">
        <w:rPr>
          <w:sz w:val="22"/>
          <w:szCs w:val="22"/>
        </w:rPr>
        <w:t>ο</w:t>
      </w:r>
      <w:r w:rsidRPr="00455CFF">
        <w:rPr>
          <w:sz w:val="22"/>
          <w:szCs w:val="22"/>
        </w:rPr>
        <w:t xml:space="preserve">χρεώσεών τους αντανακλά κυρίως την αύξηση (κατά 20,7 </w:t>
      </w:r>
      <w:r>
        <w:rPr>
          <w:sz w:val="22"/>
        </w:rPr>
        <w:t>δισ</w:t>
      </w:r>
      <w:r w:rsidRPr="00455CFF">
        <w:rPr>
          <w:sz w:val="22"/>
          <w:szCs w:val="22"/>
        </w:rPr>
        <w:t>.</w:t>
      </w:r>
      <w:r>
        <w:rPr>
          <w:sz w:val="22"/>
        </w:rPr>
        <w:t xml:space="preserve"> </w:t>
      </w:r>
      <w:r w:rsidRPr="00455CFF">
        <w:rPr>
          <w:sz w:val="22"/>
          <w:szCs w:val="22"/>
        </w:rPr>
        <w:t>ευρώ) των τοποθετήσεων μη κατοίκων σε καταθέσεις και repos στην Ελλάδα (περιλαμβάνεται ο λογαριασμός TARGET καθώς και η τιτλ</w:t>
      </w:r>
      <w:r w:rsidRPr="00455CFF">
        <w:rPr>
          <w:sz w:val="22"/>
          <w:szCs w:val="22"/>
        </w:rPr>
        <w:t>ο</w:t>
      </w:r>
      <w:r w:rsidRPr="00455CFF">
        <w:rPr>
          <w:sz w:val="22"/>
          <w:szCs w:val="22"/>
        </w:rPr>
        <w:t>ποίηση δανείων).</w:t>
      </w:r>
    </w:p>
    <w:p w:rsidR="00571E40" w:rsidRPr="00455CFF" w:rsidRDefault="00571E40" w:rsidP="00571E40">
      <w:pPr>
        <w:tabs>
          <w:tab w:val="left" w:pos="851"/>
        </w:tabs>
        <w:jc w:val="both"/>
        <w:rPr>
          <w:sz w:val="22"/>
          <w:szCs w:val="22"/>
        </w:rPr>
      </w:pPr>
    </w:p>
    <w:p w:rsidR="00571E40" w:rsidRPr="000416F9" w:rsidRDefault="00571E40" w:rsidP="00571E40">
      <w:pPr>
        <w:tabs>
          <w:tab w:val="left" w:pos="851"/>
        </w:tabs>
        <w:jc w:val="both"/>
        <w:rPr>
          <w:sz w:val="22"/>
          <w:szCs w:val="22"/>
        </w:rPr>
      </w:pPr>
      <w:r w:rsidRPr="00455CFF">
        <w:rPr>
          <w:sz w:val="22"/>
          <w:szCs w:val="22"/>
        </w:rPr>
        <w:t xml:space="preserve">Στο τέλος Σεπτεμβρίου 2019, τα συναλλαγματικά διαθέσιμα της χώρας διαμορφώθηκαν σε 7,5 </w:t>
      </w:r>
      <w:r>
        <w:rPr>
          <w:sz w:val="22"/>
        </w:rPr>
        <w:t>δισ</w:t>
      </w:r>
      <w:r w:rsidRPr="00455CFF">
        <w:rPr>
          <w:sz w:val="22"/>
          <w:szCs w:val="22"/>
        </w:rPr>
        <w:t>.</w:t>
      </w:r>
      <w:r>
        <w:rPr>
          <w:sz w:val="22"/>
        </w:rPr>
        <w:t xml:space="preserve"> </w:t>
      </w:r>
      <w:r w:rsidRPr="00455CFF">
        <w:rPr>
          <w:sz w:val="22"/>
          <w:szCs w:val="22"/>
        </w:rPr>
        <w:t xml:space="preserve">ευρώ, έναντι 6,2 </w:t>
      </w:r>
      <w:r>
        <w:rPr>
          <w:sz w:val="22"/>
        </w:rPr>
        <w:t>δισ</w:t>
      </w:r>
      <w:r w:rsidRPr="00455CFF">
        <w:rPr>
          <w:sz w:val="22"/>
          <w:szCs w:val="22"/>
        </w:rPr>
        <w:t>.</w:t>
      </w:r>
      <w:r>
        <w:rPr>
          <w:sz w:val="22"/>
        </w:rPr>
        <w:t xml:space="preserve"> </w:t>
      </w:r>
      <w:r w:rsidRPr="00455CFF">
        <w:rPr>
          <w:sz w:val="22"/>
          <w:szCs w:val="22"/>
        </w:rPr>
        <w:t xml:space="preserve">ευρώ στο τέλος Σεπτεμβρίου του 2018. </w:t>
      </w:r>
    </w:p>
    <w:p w:rsidR="00D37EC4" w:rsidRPr="000416F9" w:rsidRDefault="00D37EC4" w:rsidP="00571E40">
      <w:pPr>
        <w:tabs>
          <w:tab w:val="left" w:pos="851"/>
        </w:tabs>
        <w:jc w:val="both"/>
        <w:rPr>
          <w:sz w:val="22"/>
          <w:szCs w:val="22"/>
        </w:rPr>
      </w:pPr>
    </w:p>
    <w:tbl>
      <w:tblPr>
        <w:tblW w:w="90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30" w:type="dxa"/>
          <w:right w:w="30" w:type="dxa"/>
        </w:tblCellMar>
        <w:tblLook w:val="0000"/>
      </w:tblPr>
      <w:tblGrid>
        <w:gridCol w:w="4283"/>
        <w:gridCol w:w="802"/>
        <w:gridCol w:w="802"/>
        <w:gridCol w:w="802"/>
        <w:gridCol w:w="802"/>
        <w:gridCol w:w="802"/>
        <w:gridCol w:w="779"/>
      </w:tblGrid>
      <w:tr w:rsidR="00D37EC4" w:rsidRPr="00485FD7" w:rsidTr="00CF5320">
        <w:trPr>
          <w:cantSplit/>
          <w:jc w:val="center"/>
        </w:trPr>
        <w:tc>
          <w:tcPr>
            <w:tcW w:w="9072" w:type="dxa"/>
            <w:gridSpan w:val="7"/>
            <w:tcBorders>
              <w:top w:val="single" w:sz="6" w:space="0" w:color="auto"/>
              <w:bottom w:val="nil"/>
            </w:tcBorders>
            <w:shd w:val="clear" w:color="auto" w:fill="595959" w:themeFill="text1" w:themeFillTint="A6"/>
            <w:vAlign w:val="center"/>
          </w:tcPr>
          <w:p w:rsidR="00D37EC4" w:rsidRPr="00485FD7" w:rsidRDefault="00D37EC4" w:rsidP="00CF5320">
            <w:pPr>
              <w:pStyle w:val="3"/>
              <w:numPr>
                <w:ilvl w:val="2"/>
                <w:numId w:val="0"/>
              </w:numPr>
              <w:tabs>
                <w:tab w:val="num" w:pos="0"/>
              </w:tabs>
              <w:spacing w:before="0" w:after="0"/>
              <w:ind w:left="720" w:hanging="720"/>
              <w:jc w:val="center"/>
              <w:rPr>
                <w:rFonts w:ascii="Arial Narrow" w:hAnsi="Arial Narrow"/>
                <w:color w:val="FFFFFF"/>
                <w:sz w:val="24"/>
                <w:szCs w:val="24"/>
              </w:rPr>
            </w:pPr>
            <w:r>
              <w:rPr>
                <w:sz w:val="22"/>
              </w:rPr>
              <w:br w:type="page"/>
            </w:r>
            <w:r w:rsidR="00D21DE7">
              <w:rPr>
                <w:rFonts w:ascii="Arial Narrow" w:hAnsi="Arial Narrow"/>
                <w:color w:val="FFFFFF"/>
                <w:sz w:val="24"/>
                <w:szCs w:val="24"/>
              </w:rPr>
              <w:t>Πίνακας 1.4</w:t>
            </w:r>
            <w:r>
              <w:rPr>
                <w:rFonts w:ascii="Arial Narrow" w:hAnsi="Arial Narrow"/>
                <w:color w:val="FFFFFF"/>
                <w:sz w:val="24"/>
                <w:szCs w:val="24"/>
              </w:rPr>
              <w:t xml:space="preserve"> </w:t>
            </w:r>
            <w:r w:rsidRPr="00485FD7">
              <w:rPr>
                <w:rFonts w:ascii="Arial Narrow" w:hAnsi="Arial Narrow"/>
                <w:color w:val="FFFFFF"/>
                <w:sz w:val="24"/>
                <w:szCs w:val="24"/>
              </w:rPr>
              <w:t xml:space="preserve">Ισοζύγιο </w:t>
            </w:r>
            <w:r>
              <w:rPr>
                <w:rFonts w:ascii="Arial Narrow" w:hAnsi="Arial Narrow"/>
                <w:color w:val="FFFFFF"/>
                <w:sz w:val="24"/>
                <w:szCs w:val="24"/>
              </w:rPr>
              <w:t xml:space="preserve">πληρωμών </w:t>
            </w:r>
          </w:p>
          <w:p w:rsidR="00D37EC4" w:rsidRPr="00485FD7" w:rsidRDefault="00D37EC4" w:rsidP="00CF5320">
            <w:pPr>
              <w:spacing w:after="60"/>
              <w:jc w:val="center"/>
              <w:rPr>
                <w:b/>
                <w:snapToGrid w:val="0"/>
                <w:color w:val="FFFFFF"/>
                <w:sz w:val="16"/>
              </w:rPr>
            </w:pPr>
            <w:r w:rsidRPr="00485FD7">
              <w:rPr>
                <w:rFonts w:ascii="Arial Narrow" w:hAnsi="Arial Narrow"/>
                <w:b/>
                <w:color w:val="FFFFFF"/>
              </w:rPr>
              <w:t>(σε εκατ. ευρώ)</w:t>
            </w:r>
          </w:p>
        </w:tc>
      </w:tr>
      <w:tr w:rsidR="00D37EC4" w:rsidRPr="000D16BD" w:rsidTr="00CF5320">
        <w:trPr>
          <w:cantSplit/>
          <w:trHeight w:val="20"/>
          <w:jc w:val="center"/>
        </w:trPr>
        <w:tc>
          <w:tcPr>
            <w:tcW w:w="9072" w:type="dxa"/>
            <w:gridSpan w:val="7"/>
            <w:tcBorders>
              <w:top w:val="single" w:sz="6" w:space="0" w:color="auto"/>
              <w:bottom w:val="nil"/>
            </w:tcBorders>
            <w:shd w:val="clear" w:color="auto" w:fill="auto"/>
            <w:vAlign w:val="center"/>
          </w:tcPr>
          <w:p w:rsidR="00D37EC4" w:rsidRPr="000D16BD" w:rsidRDefault="00D37EC4" w:rsidP="00CF5320">
            <w:pPr>
              <w:pStyle w:val="3"/>
              <w:numPr>
                <w:ilvl w:val="2"/>
                <w:numId w:val="0"/>
              </w:numPr>
              <w:tabs>
                <w:tab w:val="num" w:pos="0"/>
              </w:tabs>
              <w:spacing w:before="0" w:after="0"/>
              <w:ind w:left="720" w:hanging="720"/>
              <w:jc w:val="center"/>
              <w:rPr>
                <w:sz w:val="8"/>
              </w:rPr>
            </w:pPr>
          </w:p>
        </w:tc>
      </w:tr>
      <w:tr w:rsidR="00D37EC4" w:rsidRPr="00472EC7" w:rsidTr="0075623F">
        <w:trPr>
          <w:cantSplit/>
          <w:trHeight w:val="20"/>
          <w:jc w:val="center"/>
        </w:trPr>
        <w:tc>
          <w:tcPr>
            <w:tcW w:w="4283" w:type="dxa"/>
            <w:vMerge w:val="restart"/>
            <w:tcBorders>
              <w:top w:val="single" w:sz="4" w:space="0" w:color="auto"/>
            </w:tcBorders>
            <w:shd w:val="clear" w:color="auto" w:fill="FFFFFF"/>
            <w:vAlign w:val="center"/>
          </w:tcPr>
          <w:p w:rsidR="00D37EC4" w:rsidRPr="00472EC7" w:rsidRDefault="00D37EC4" w:rsidP="0075623F">
            <w:pPr>
              <w:tabs>
                <w:tab w:val="left" w:pos="426"/>
              </w:tabs>
              <w:spacing w:line="160" w:lineRule="exact"/>
              <w:jc w:val="center"/>
              <w:rPr>
                <w:rFonts w:ascii="Arial Narrow" w:hAnsi="Arial Narrow"/>
                <w:b/>
                <w:snapToGrid w:val="0"/>
                <w:color w:val="000000"/>
                <w:sz w:val="16"/>
              </w:rPr>
            </w:pPr>
          </w:p>
        </w:tc>
        <w:tc>
          <w:tcPr>
            <w:tcW w:w="2406" w:type="dxa"/>
            <w:gridSpan w:val="3"/>
            <w:tcBorders>
              <w:top w:val="single" w:sz="4" w:space="0" w:color="auto"/>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sidRPr="00472EC7">
              <w:rPr>
                <w:rFonts w:ascii="Arial Narrow" w:hAnsi="Arial Narrow"/>
                <w:b/>
                <w:snapToGrid w:val="0"/>
                <w:color w:val="000000"/>
                <w:sz w:val="16"/>
              </w:rPr>
              <w:t>Ιανουάριος-</w:t>
            </w:r>
            <w:r>
              <w:rPr>
                <w:rFonts w:ascii="Arial Narrow" w:hAnsi="Arial Narrow"/>
                <w:b/>
                <w:snapToGrid w:val="0"/>
                <w:color w:val="000000"/>
                <w:sz w:val="16"/>
              </w:rPr>
              <w:t>Δεκέμβριος</w:t>
            </w:r>
          </w:p>
        </w:tc>
        <w:tc>
          <w:tcPr>
            <w:tcW w:w="2383" w:type="dxa"/>
            <w:gridSpan w:val="3"/>
            <w:tcBorders>
              <w:top w:val="single" w:sz="4" w:space="0" w:color="auto"/>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sidRPr="00472EC7">
              <w:rPr>
                <w:rFonts w:ascii="Arial Narrow" w:hAnsi="Arial Narrow"/>
                <w:b/>
                <w:snapToGrid w:val="0"/>
                <w:color w:val="000000"/>
                <w:sz w:val="16"/>
              </w:rPr>
              <w:t>Ιανουάριος-</w:t>
            </w:r>
            <w:r>
              <w:rPr>
                <w:rFonts w:ascii="Arial Narrow" w:hAnsi="Arial Narrow"/>
                <w:b/>
                <w:snapToGrid w:val="0"/>
                <w:color w:val="000000"/>
                <w:sz w:val="16"/>
              </w:rPr>
              <w:t>Σεπτέμβριος</w:t>
            </w:r>
          </w:p>
        </w:tc>
      </w:tr>
      <w:tr w:rsidR="00D37EC4" w:rsidRPr="00472EC7" w:rsidTr="0075623F">
        <w:trPr>
          <w:cantSplit/>
          <w:trHeight w:val="20"/>
          <w:jc w:val="center"/>
        </w:trPr>
        <w:tc>
          <w:tcPr>
            <w:tcW w:w="4283" w:type="dxa"/>
            <w:vMerge/>
            <w:tcBorders>
              <w:bottom w:val="single" w:sz="4" w:space="0" w:color="auto"/>
            </w:tcBorders>
          </w:tcPr>
          <w:p w:rsidR="00D37EC4" w:rsidRPr="00472EC7" w:rsidRDefault="00D37EC4" w:rsidP="0075623F">
            <w:pPr>
              <w:tabs>
                <w:tab w:val="left" w:pos="426"/>
              </w:tabs>
              <w:spacing w:line="160" w:lineRule="exact"/>
              <w:jc w:val="center"/>
              <w:rPr>
                <w:rFonts w:ascii="Arial Narrow" w:hAnsi="Arial Narrow"/>
                <w:b/>
                <w:snapToGrid w:val="0"/>
                <w:color w:val="000000"/>
                <w:sz w:val="16"/>
              </w:rPr>
            </w:pPr>
          </w:p>
        </w:tc>
        <w:tc>
          <w:tcPr>
            <w:tcW w:w="802" w:type="dxa"/>
            <w:tcBorders>
              <w:top w:val="nil"/>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Pr>
                <w:rFonts w:ascii="Arial Narrow" w:hAnsi="Arial Narrow"/>
                <w:b/>
                <w:snapToGrid w:val="0"/>
                <w:color w:val="000000"/>
                <w:sz w:val="16"/>
              </w:rPr>
              <w:t>201</w:t>
            </w:r>
            <w:r w:rsidR="000416F9">
              <w:rPr>
                <w:rFonts w:ascii="Arial Narrow" w:hAnsi="Arial Narrow"/>
                <w:b/>
                <w:snapToGrid w:val="0"/>
                <w:color w:val="000000"/>
                <w:sz w:val="16"/>
              </w:rPr>
              <w:t>6</w:t>
            </w:r>
          </w:p>
        </w:tc>
        <w:tc>
          <w:tcPr>
            <w:tcW w:w="802" w:type="dxa"/>
            <w:tcBorders>
              <w:top w:val="nil"/>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Pr>
                <w:rFonts w:ascii="Arial Narrow" w:hAnsi="Arial Narrow"/>
                <w:b/>
                <w:snapToGrid w:val="0"/>
                <w:color w:val="000000"/>
                <w:sz w:val="16"/>
              </w:rPr>
              <w:t>201</w:t>
            </w:r>
            <w:r w:rsidR="000416F9">
              <w:rPr>
                <w:rFonts w:ascii="Arial Narrow" w:hAnsi="Arial Narrow"/>
                <w:b/>
                <w:snapToGrid w:val="0"/>
                <w:color w:val="000000"/>
                <w:sz w:val="16"/>
              </w:rPr>
              <w:t>7</w:t>
            </w:r>
          </w:p>
        </w:tc>
        <w:tc>
          <w:tcPr>
            <w:tcW w:w="802" w:type="dxa"/>
            <w:tcBorders>
              <w:top w:val="nil"/>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Pr>
                <w:rFonts w:ascii="Arial Narrow" w:hAnsi="Arial Narrow"/>
                <w:b/>
                <w:snapToGrid w:val="0"/>
                <w:color w:val="000000"/>
                <w:sz w:val="16"/>
              </w:rPr>
              <w:t>201</w:t>
            </w:r>
            <w:r w:rsidR="000416F9">
              <w:rPr>
                <w:rFonts w:ascii="Arial Narrow" w:hAnsi="Arial Narrow"/>
                <w:b/>
                <w:snapToGrid w:val="0"/>
                <w:color w:val="000000"/>
                <w:sz w:val="16"/>
              </w:rPr>
              <w:t>8</w:t>
            </w:r>
          </w:p>
        </w:tc>
        <w:tc>
          <w:tcPr>
            <w:tcW w:w="802" w:type="dxa"/>
            <w:tcBorders>
              <w:top w:val="nil"/>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sidRPr="00472EC7">
              <w:rPr>
                <w:rFonts w:ascii="Arial Narrow" w:hAnsi="Arial Narrow"/>
                <w:b/>
                <w:snapToGrid w:val="0"/>
                <w:color w:val="000000"/>
                <w:sz w:val="16"/>
              </w:rPr>
              <w:t>20</w:t>
            </w:r>
            <w:r>
              <w:rPr>
                <w:rFonts w:ascii="Arial Narrow" w:hAnsi="Arial Narrow"/>
                <w:b/>
                <w:snapToGrid w:val="0"/>
                <w:color w:val="000000"/>
                <w:sz w:val="16"/>
              </w:rPr>
              <w:t>1</w:t>
            </w:r>
            <w:r w:rsidR="000416F9">
              <w:rPr>
                <w:rFonts w:ascii="Arial Narrow" w:hAnsi="Arial Narrow"/>
                <w:b/>
                <w:snapToGrid w:val="0"/>
                <w:color w:val="000000"/>
                <w:sz w:val="16"/>
              </w:rPr>
              <w:t>7</w:t>
            </w:r>
          </w:p>
        </w:tc>
        <w:tc>
          <w:tcPr>
            <w:tcW w:w="802" w:type="dxa"/>
            <w:tcBorders>
              <w:top w:val="nil"/>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sidRPr="00472EC7">
              <w:rPr>
                <w:rFonts w:ascii="Arial Narrow" w:hAnsi="Arial Narrow"/>
                <w:b/>
                <w:snapToGrid w:val="0"/>
                <w:color w:val="000000"/>
                <w:sz w:val="16"/>
              </w:rPr>
              <w:t>201</w:t>
            </w:r>
            <w:r w:rsidR="000416F9">
              <w:rPr>
                <w:rFonts w:ascii="Arial Narrow" w:hAnsi="Arial Narrow"/>
                <w:b/>
                <w:snapToGrid w:val="0"/>
                <w:color w:val="000000"/>
                <w:sz w:val="16"/>
              </w:rPr>
              <w:t>8</w:t>
            </w:r>
          </w:p>
        </w:tc>
        <w:tc>
          <w:tcPr>
            <w:tcW w:w="779" w:type="dxa"/>
            <w:tcBorders>
              <w:top w:val="nil"/>
              <w:bottom w:val="single" w:sz="4" w:space="0" w:color="auto"/>
            </w:tcBorders>
            <w:shd w:val="clear" w:color="auto" w:fill="FFFFFF"/>
          </w:tcPr>
          <w:p w:rsidR="00D37EC4" w:rsidRPr="00472EC7" w:rsidRDefault="00D37EC4" w:rsidP="0075623F">
            <w:pPr>
              <w:spacing w:line="160" w:lineRule="exact"/>
              <w:jc w:val="center"/>
              <w:rPr>
                <w:rFonts w:ascii="Arial Narrow" w:hAnsi="Arial Narrow"/>
                <w:b/>
                <w:snapToGrid w:val="0"/>
                <w:color w:val="000000"/>
                <w:sz w:val="16"/>
              </w:rPr>
            </w:pPr>
            <w:r>
              <w:rPr>
                <w:rFonts w:ascii="Arial Narrow" w:hAnsi="Arial Narrow"/>
                <w:b/>
                <w:snapToGrid w:val="0"/>
                <w:color w:val="000000"/>
                <w:sz w:val="16"/>
              </w:rPr>
              <w:t>201</w:t>
            </w:r>
            <w:r w:rsidR="000416F9">
              <w:rPr>
                <w:rFonts w:ascii="Arial Narrow" w:hAnsi="Arial Narrow"/>
                <w:b/>
                <w:snapToGrid w:val="0"/>
                <w:color w:val="000000"/>
                <w:sz w:val="16"/>
              </w:rPr>
              <w:t>9</w:t>
            </w:r>
          </w:p>
        </w:tc>
      </w:tr>
      <w:tr w:rsidR="000416F9" w:rsidTr="0075623F">
        <w:trPr>
          <w:cantSplit/>
          <w:trHeight w:val="20"/>
          <w:jc w:val="center"/>
        </w:trPr>
        <w:tc>
          <w:tcPr>
            <w:tcW w:w="4283" w:type="dxa"/>
            <w:tcBorders>
              <w:top w:val="single" w:sz="4" w:space="0" w:color="auto"/>
              <w:bottom w:val="nil"/>
              <w:right w:val="nil"/>
            </w:tcBorders>
            <w:shd w:val="clear" w:color="auto" w:fill="D9D9D9" w:themeFill="background1" w:themeFillShade="D9"/>
          </w:tcPr>
          <w:p w:rsidR="000416F9" w:rsidRPr="00472EC7" w:rsidRDefault="000416F9" w:rsidP="0075623F">
            <w:pPr>
              <w:tabs>
                <w:tab w:val="left" w:pos="426"/>
              </w:tabs>
              <w:spacing w:line="160" w:lineRule="exact"/>
              <w:rPr>
                <w:rFonts w:ascii="Arial Narrow" w:hAnsi="Arial Narrow"/>
                <w:b/>
                <w:i/>
                <w:snapToGrid w:val="0"/>
                <w:color w:val="000000"/>
                <w:sz w:val="16"/>
                <w:szCs w:val="16"/>
              </w:rPr>
            </w:pPr>
            <w:r w:rsidRPr="00472EC7">
              <w:rPr>
                <w:rFonts w:ascii="Arial Narrow" w:hAnsi="Arial Narrow"/>
                <w:b/>
                <w:snapToGrid w:val="0"/>
                <w:color w:val="000000"/>
                <w:sz w:val="16"/>
                <w:szCs w:val="16"/>
              </w:rPr>
              <w:t>I.</w:t>
            </w:r>
            <w:r w:rsidRPr="00472EC7">
              <w:rPr>
                <w:rFonts w:ascii="Arial Narrow" w:hAnsi="Arial Narrow"/>
                <w:b/>
                <w:snapToGrid w:val="0"/>
                <w:color w:val="000000"/>
                <w:sz w:val="16"/>
                <w:szCs w:val="16"/>
              </w:rPr>
              <w:tab/>
              <w:t>Ισοζύγιο τρεχουσών συναλλαγών (Ι.Α+Ι.Β+Ι.Γ+Ι.Δ</w:t>
            </w:r>
            <w:r w:rsidRPr="00472EC7">
              <w:rPr>
                <w:rFonts w:ascii="Arial Narrow" w:hAnsi="Arial Narrow"/>
                <w:b/>
                <w:i/>
                <w:snapToGrid w:val="0"/>
                <w:color w:val="000000"/>
                <w:sz w:val="16"/>
                <w:szCs w:val="16"/>
              </w:rPr>
              <w:t>)</w:t>
            </w:r>
          </w:p>
        </w:tc>
        <w:tc>
          <w:tcPr>
            <w:tcW w:w="802" w:type="dxa"/>
            <w:tcBorders>
              <w:top w:val="single" w:sz="4" w:space="0" w:color="auto"/>
              <w:left w:val="nil"/>
              <w:bottom w:val="nil"/>
              <w:right w:val="nil"/>
            </w:tcBorders>
            <w:shd w:val="clear" w:color="auto" w:fill="D9D9D9" w:themeFill="background1" w:themeFillShade="D9"/>
            <w:vAlign w:val="bottom"/>
          </w:tcPr>
          <w:p w:rsidR="000416F9" w:rsidRDefault="000416F9"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-3.050,0</w:t>
            </w:r>
          </w:p>
        </w:tc>
        <w:tc>
          <w:tcPr>
            <w:tcW w:w="802" w:type="dxa"/>
            <w:tcBorders>
              <w:top w:val="single" w:sz="4" w:space="0" w:color="auto"/>
              <w:left w:val="nil"/>
              <w:bottom w:val="nil"/>
              <w:right w:val="nil"/>
            </w:tcBorders>
            <w:shd w:val="clear" w:color="auto" w:fill="D9D9D9" w:themeFill="background1" w:themeFillShade="D9"/>
            <w:vAlign w:val="bottom"/>
          </w:tcPr>
          <w:p w:rsidR="000416F9" w:rsidRDefault="000416F9"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-3.406,2</w:t>
            </w:r>
          </w:p>
        </w:tc>
        <w:tc>
          <w:tcPr>
            <w:tcW w:w="802" w:type="dxa"/>
            <w:tcBorders>
              <w:top w:val="single" w:sz="4" w:space="0" w:color="auto"/>
              <w:left w:val="nil"/>
              <w:bottom w:val="nil"/>
              <w:right w:val="nil"/>
            </w:tcBorders>
            <w:shd w:val="clear" w:color="auto" w:fill="D9D9D9" w:themeFill="background1" w:themeFillShade="D9"/>
            <w:vAlign w:val="bottom"/>
          </w:tcPr>
          <w:p w:rsidR="000416F9" w:rsidRDefault="000416F9"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-5.232,2</w:t>
            </w:r>
          </w:p>
        </w:tc>
        <w:tc>
          <w:tcPr>
            <w:tcW w:w="802" w:type="dxa"/>
            <w:tcBorders>
              <w:top w:val="single" w:sz="4" w:space="0" w:color="auto"/>
              <w:left w:val="nil"/>
              <w:bottom w:val="nil"/>
              <w:right w:val="nil"/>
            </w:tcBorders>
            <w:shd w:val="clear" w:color="auto" w:fill="D9D9D9" w:themeFill="background1" w:themeFillShade="D9"/>
            <w:vAlign w:val="bottom"/>
          </w:tcPr>
          <w:p w:rsidR="000416F9" w:rsidRDefault="000416F9"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42,8</w:t>
            </w:r>
          </w:p>
        </w:tc>
        <w:tc>
          <w:tcPr>
            <w:tcW w:w="802" w:type="dxa"/>
            <w:tcBorders>
              <w:top w:val="single" w:sz="4" w:space="0" w:color="auto"/>
              <w:left w:val="nil"/>
              <w:bottom w:val="nil"/>
              <w:right w:val="nil"/>
            </w:tcBorders>
            <w:shd w:val="clear" w:color="auto" w:fill="D9D9D9" w:themeFill="background1" w:themeFillShade="D9"/>
            <w:vAlign w:val="bottom"/>
          </w:tcPr>
          <w:p w:rsidR="000416F9" w:rsidRDefault="000416F9"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-1.357,3</w:t>
            </w:r>
          </w:p>
        </w:tc>
        <w:tc>
          <w:tcPr>
            <w:tcW w:w="779" w:type="dxa"/>
            <w:tcBorders>
              <w:top w:val="single" w:sz="4" w:space="0" w:color="auto"/>
              <w:left w:val="nil"/>
              <w:bottom w:val="nil"/>
            </w:tcBorders>
            <w:shd w:val="clear" w:color="auto" w:fill="D9D9D9" w:themeFill="background1" w:themeFillShade="D9"/>
            <w:vAlign w:val="bottom"/>
          </w:tcPr>
          <w:p w:rsidR="000416F9" w:rsidRDefault="000416F9"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-24,0</w:t>
            </w:r>
          </w:p>
        </w:tc>
      </w:tr>
      <w:tr w:rsidR="000416F9" w:rsidTr="0075623F">
        <w:trPr>
          <w:cantSplit/>
          <w:trHeight w:val="20"/>
          <w:jc w:val="center"/>
        </w:trPr>
        <w:tc>
          <w:tcPr>
            <w:tcW w:w="4283" w:type="dxa"/>
            <w:tcBorders>
              <w:top w:val="nil"/>
              <w:bottom w:val="nil"/>
              <w:right w:val="nil"/>
            </w:tcBorders>
            <w:shd w:val="clear" w:color="auto" w:fill="FFFFFF"/>
          </w:tcPr>
          <w:p w:rsidR="000416F9" w:rsidRPr="00243770" w:rsidRDefault="000416F9" w:rsidP="0075623F">
            <w:pPr>
              <w:tabs>
                <w:tab w:val="left" w:pos="426"/>
              </w:tabs>
              <w:spacing w:before="40" w:line="160" w:lineRule="exact"/>
              <w:jc w:val="both"/>
              <w:rPr>
                <w:rFonts w:ascii="Arial Narrow" w:hAnsi="Arial Narrow"/>
                <w:b/>
                <w:snapToGrid w:val="0"/>
                <w:color w:val="000000"/>
                <w:sz w:val="16"/>
                <w:szCs w:val="16"/>
              </w:rPr>
            </w:pPr>
            <w:r>
              <w:rPr>
                <w:rFonts w:ascii="Arial Narrow" w:hAnsi="Arial Narrow"/>
                <w:b/>
                <w:snapToGrid w:val="0"/>
                <w:color w:val="000000"/>
                <w:sz w:val="16"/>
                <w:szCs w:val="16"/>
              </w:rPr>
              <w:tab/>
            </w:r>
            <w:r w:rsidRPr="00243770">
              <w:rPr>
                <w:rFonts w:ascii="Arial Narrow" w:hAnsi="Arial Narrow"/>
                <w:b/>
                <w:snapToGrid w:val="0"/>
                <w:color w:val="000000"/>
                <w:sz w:val="16"/>
                <w:szCs w:val="16"/>
              </w:rPr>
              <w:t xml:space="preserve">Ισοζύγιο </w:t>
            </w:r>
            <w:r>
              <w:rPr>
                <w:rFonts w:ascii="Arial Narrow" w:hAnsi="Arial Narrow"/>
                <w:b/>
                <w:snapToGrid w:val="0"/>
                <w:color w:val="000000"/>
                <w:sz w:val="16"/>
                <w:szCs w:val="16"/>
              </w:rPr>
              <w:t>αγαθών και υπηρεσιών (Ι.Α+Ι.Β)</w:t>
            </w:r>
            <w:r w:rsidRPr="00243770">
              <w:rPr>
                <w:rFonts w:ascii="Arial Narrow" w:hAnsi="Arial Narrow"/>
                <w:b/>
                <w:snapToGrid w:val="0"/>
                <w:color w:val="000000"/>
                <w:sz w:val="16"/>
                <w:szCs w:val="16"/>
              </w:rPr>
              <w:tab/>
            </w:r>
          </w:p>
        </w:tc>
        <w:tc>
          <w:tcPr>
            <w:tcW w:w="802" w:type="dxa"/>
            <w:tcBorders>
              <w:top w:val="nil"/>
              <w:left w:val="nil"/>
              <w:bottom w:val="nil"/>
              <w:right w:val="nil"/>
            </w:tcBorders>
            <w:shd w:val="clear" w:color="auto" w:fill="FFFFFF"/>
            <w:vAlign w:val="bottom"/>
          </w:tcPr>
          <w:p w:rsidR="000416F9" w:rsidRDefault="000416F9"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-1.662,7</w:t>
            </w:r>
          </w:p>
        </w:tc>
        <w:tc>
          <w:tcPr>
            <w:tcW w:w="802" w:type="dxa"/>
            <w:tcBorders>
              <w:top w:val="nil"/>
              <w:left w:val="nil"/>
              <w:bottom w:val="nil"/>
              <w:right w:val="nil"/>
            </w:tcBorders>
            <w:shd w:val="clear" w:color="auto" w:fill="FFFFFF"/>
            <w:vAlign w:val="bottom"/>
          </w:tcPr>
          <w:p w:rsidR="000416F9" w:rsidRDefault="000416F9"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-1.790,2</w:t>
            </w:r>
          </w:p>
        </w:tc>
        <w:tc>
          <w:tcPr>
            <w:tcW w:w="802" w:type="dxa"/>
            <w:tcBorders>
              <w:top w:val="nil"/>
              <w:left w:val="nil"/>
              <w:bottom w:val="nil"/>
              <w:right w:val="nil"/>
            </w:tcBorders>
            <w:shd w:val="clear" w:color="auto" w:fill="FFFFFF"/>
            <w:vAlign w:val="bottom"/>
          </w:tcPr>
          <w:p w:rsidR="000416F9" w:rsidRDefault="000416F9"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-3.184,7</w:t>
            </w:r>
          </w:p>
        </w:tc>
        <w:tc>
          <w:tcPr>
            <w:tcW w:w="802" w:type="dxa"/>
            <w:tcBorders>
              <w:top w:val="nil"/>
              <w:left w:val="nil"/>
              <w:bottom w:val="nil"/>
              <w:right w:val="nil"/>
            </w:tcBorders>
            <w:shd w:val="clear" w:color="auto" w:fill="FFFFFF"/>
            <w:vAlign w:val="bottom"/>
          </w:tcPr>
          <w:p w:rsidR="000416F9" w:rsidRDefault="000416F9"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922,5</w:t>
            </w:r>
          </w:p>
        </w:tc>
        <w:tc>
          <w:tcPr>
            <w:tcW w:w="802" w:type="dxa"/>
            <w:tcBorders>
              <w:top w:val="nil"/>
              <w:left w:val="nil"/>
              <w:bottom w:val="nil"/>
              <w:right w:val="nil"/>
            </w:tcBorders>
            <w:shd w:val="clear" w:color="auto" w:fill="FFFFFF"/>
            <w:vAlign w:val="bottom"/>
          </w:tcPr>
          <w:p w:rsidR="000416F9" w:rsidRDefault="000416F9"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-170,9</w:t>
            </w:r>
          </w:p>
        </w:tc>
        <w:tc>
          <w:tcPr>
            <w:tcW w:w="779" w:type="dxa"/>
            <w:tcBorders>
              <w:top w:val="nil"/>
              <w:left w:val="nil"/>
              <w:bottom w:val="nil"/>
            </w:tcBorders>
            <w:shd w:val="clear" w:color="auto" w:fill="FFFFFF"/>
            <w:vAlign w:val="bottom"/>
          </w:tcPr>
          <w:p w:rsidR="000416F9" w:rsidRDefault="000416F9"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890,0</w:t>
            </w:r>
          </w:p>
        </w:tc>
      </w:tr>
      <w:tr w:rsidR="00E36044" w:rsidRPr="00D37EC4" w:rsidTr="0075623F">
        <w:trPr>
          <w:cantSplit/>
          <w:trHeight w:val="20"/>
          <w:jc w:val="center"/>
        </w:trPr>
        <w:tc>
          <w:tcPr>
            <w:tcW w:w="4283" w:type="dxa"/>
            <w:tcBorders>
              <w:top w:val="nil"/>
              <w:bottom w:val="nil"/>
              <w:right w:val="nil"/>
            </w:tcBorders>
            <w:shd w:val="clear" w:color="auto" w:fill="FFFFFF"/>
          </w:tcPr>
          <w:p w:rsidR="00E36044" w:rsidRPr="00D37EC4" w:rsidRDefault="00E36044" w:rsidP="0075623F">
            <w:pPr>
              <w:tabs>
                <w:tab w:val="left" w:pos="426"/>
              </w:tabs>
              <w:spacing w:before="40" w:line="160" w:lineRule="exact"/>
              <w:jc w:val="both"/>
              <w:rPr>
                <w:rFonts w:ascii="Arial Narrow" w:hAnsi="Arial Narrow"/>
                <w:snapToGrid w:val="0"/>
                <w:color w:val="000000"/>
                <w:sz w:val="16"/>
                <w:szCs w:val="16"/>
              </w:rPr>
            </w:pPr>
            <w:r w:rsidRPr="000416F9">
              <w:rPr>
                <w:rFonts w:ascii="Arial Narrow" w:hAnsi="Arial Narrow"/>
                <w:snapToGrid w:val="0"/>
                <w:color w:val="000000"/>
                <w:sz w:val="16"/>
                <w:szCs w:val="16"/>
              </w:rPr>
              <w:tab/>
            </w:r>
            <w:r w:rsidRPr="00D37EC4">
              <w:rPr>
                <w:rFonts w:ascii="Arial Narrow" w:hAnsi="Arial Narrow"/>
                <w:snapToGrid w:val="0"/>
                <w:color w:val="000000"/>
                <w:sz w:val="16"/>
                <w:szCs w:val="16"/>
              </w:rPr>
              <w:t>Εξαγωγές</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454"/>
              </w:tabs>
              <w:spacing w:line="160" w:lineRule="exact"/>
              <w:jc w:val="both"/>
              <w:rPr>
                <w:rFonts w:ascii="Arial Narrow" w:hAnsi="Arial Narrow"/>
                <w:iCs/>
                <w:sz w:val="16"/>
                <w:szCs w:val="16"/>
              </w:rPr>
            </w:pPr>
            <w:r w:rsidRPr="00E36044">
              <w:rPr>
                <w:rFonts w:ascii="Arial Narrow" w:hAnsi="Arial Narrow"/>
                <w:iCs/>
                <w:sz w:val="16"/>
                <w:szCs w:val="16"/>
              </w:rPr>
              <w:t>54.408,3</w:t>
            </w:r>
          </w:p>
        </w:tc>
        <w:tc>
          <w:tcPr>
            <w:tcW w:w="802" w:type="dxa"/>
            <w:tcBorders>
              <w:top w:val="nil"/>
              <w:left w:val="nil"/>
              <w:bottom w:val="nil"/>
              <w:right w:val="nil"/>
            </w:tcBorders>
            <w:shd w:val="clear" w:color="auto" w:fill="FFFFFF"/>
            <w:vAlign w:val="bottom"/>
          </w:tcPr>
          <w:p w:rsidR="00E36044" w:rsidRPr="00E36044" w:rsidRDefault="00E36044" w:rsidP="00B364B5">
            <w:pPr>
              <w:tabs>
                <w:tab w:val="decimal" w:pos="526"/>
              </w:tabs>
              <w:spacing w:line="160" w:lineRule="exact"/>
              <w:jc w:val="both"/>
              <w:rPr>
                <w:rFonts w:ascii="Arial Narrow" w:hAnsi="Arial Narrow"/>
                <w:iCs/>
                <w:sz w:val="16"/>
                <w:szCs w:val="16"/>
              </w:rPr>
            </w:pPr>
            <w:r w:rsidRPr="00E36044">
              <w:rPr>
                <w:rFonts w:ascii="Arial Narrow" w:hAnsi="Arial Narrow"/>
                <w:iCs/>
                <w:sz w:val="16"/>
                <w:szCs w:val="16"/>
              </w:rPr>
              <w:t>61.701,7</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504"/>
              </w:tabs>
              <w:spacing w:line="160" w:lineRule="exact"/>
              <w:jc w:val="both"/>
              <w:rPr>
                <w:rFonts w:ascii="Arial Narrow" w:hAnsi="Arial Narrow"/>
                <w:iCs/>
                <w:sz w:val="16"/>
                <w:szCs w:val="16"/>
              </w:rPr>
            </w:pPr>
            <w:r w:rsidRPr="00E36044">
              <w:rPr>
                <w:rFonts w:ascii="Arial Narrow" w:hAnsi="Arial Narrow"/>
                <w:iCs/>
                <w:sz w:val="16"/>
                <w:szCs w:val="16"/>
              </w:rPr>
              <w:t>69.532,2</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495"/>
              </w:tabs>
              <w:spacing w:line="160" w:lineRule="exact"/>
              <w:jc w:val="both"/>
              <w:rPr>
                <w:rFonts w:ascii="Arial Narrow" w:hAnsi="Arial Narrow"/>
                <w:iCs/>
                <w:sz w:val="16"/>
                <w:szCs w:val="16"/>
              </w:rPr>
            </w:pPr>
            <w:r w:rsidRPr="00E36044">
              <w:rPr>
                <w:rFonts w:ascii="Arial Narrow" w:hAnsi="Arial Narrow"/>
                <w:iCs/>
                <w:sz w:val="16"/>
                <w:szCs w:val="16"/>
              </w:rPr>
              <w:t>47.742,9</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500"/>
              </w:tabs>
              <w:spacing w:line="160" w:lineRule="exact"/>
              <w:jc w:val="both"/>
              <w:rPr>
                <w:rFonts w:ascii="Arial Narrow" w:hAnsi="Arial Narrow"/>
                <w:iCs/>
                <w:sz w:val="16"/>
                <w:szCs w:val="16"/>
              </w:rPr>
            </w:pPr>
            <w:r w:rsidRPr="00E36044">
              <w:rPr>
                <w:rFonts w:ascii="Arial Narrow" w:hAnsi="Arial Narrow"/>
                <w:iCs/>
                <w:sz w:val="16"/>
                <w:szCs w:val="16"/>
              </w:rPr>
              <w:t>53.434,8</w:t>
            </w:r>
          </w:p>
        </w:tc>
        <w:tc>
          <w:tcPr>
            <w:tcW w:w="779" w:type="dxa"/>
            <w:tcBorders>
              <w:top w:val="nil"/>
              <w:left w:val="nil"/>
              <w:bottom w:val="nil"/>
            </w:tcBorders>
            <w:shd w:val="clear" w:color="auto" w:fill="FFFFFF"/>
            <w:vAlign w:val="bottom"/>
          </w:tcPr>
          <w:p w:rsidR="00E36044" w:rsidRPr="00E36044" w:rsidRDefault="00E36044" w:rsidP="00160188">
            <w:pPr>
              <w:tabs>
                <w:tab w:val="decimal" w:pos="458"/>
              </w:tabs>
              <w:spacing w:line="160" w:lineRule="exact"/>
              <w:jc w:val="both"/>
              <w:rPr>
                <w:rFonts w:ascii="Arial Narrow" w:hAnsi="Arial Narrow"/>
                <w:iCs/>
                <w:sz w:val="16"/>
                <w:szCs w:val="16"/>
              </w:rPr>
            </w:pPr>
            <w:r w:rsidRPr="00E36044">
              <w:rPr>
                <w:rFonts w:ascii="Arial Narrow" w:hAnsi="Arial Narrow"/>
                <w:iCs/>
                <w:sz w:val="16"/>
                <w:szCs w:val="16"/>
              </w:rPr>
              <w:t>56.515,5</w:t>
            </w:r>
          </w:p>
        </w:tc>
      </w:tr>
      <w:tr w:rsidR="00E36044" w:rsidRPr="00D37EC4" w:rsidTr="0075623F">
        <w:trPr>
          <w:cantSplit/>
          <w:trHeight w:val="20"/>
          <w:jc w:val="center"/>
        </w:trPr>
        <w:tc>
          <w:tcPr>
            <w:tcW w:w="4283" w:type="dxa"/>
            <w:tcBorders>
              <w:top w:val="nil"/>
              <w:bottom w:val="nil"/>
              <w:right w:val="nil"/>
            </w:tcBorders>
            <w:shd w:val="clear" w:color="auto" w:fill="FFFFFF"/>
          </w:tcPr>
          <w:p w:rsidR="00E36044" w:rsidRPr="00D37EC4" w:rsidRDefault="00E36044" w:rsidP="0075623F">
            <w:pPr>
              <w:tabs>
                <w:tab w:val="left" w:pos="426"/>
              </w:tabs>
              <w:spacing w:before="40" w:line="160" w:lineRule="exact"/>
              <w:jc w:val="both"/>
              <w:rPr>
                <w:rFonts w:ascii="Arial Narrow" w:hAnsi="Arial Narrow"/>
                <w:snapToGrid w:val="0"/>
                <w:color w:val="000000"/>
                <w:sz w:val="16"/>
                <w:szCs w:val="16"/>
              </w:rPr>
            </w:pPr>
            <w:r w:rsidRPr="00D37EC4">
              <w:rPr>
                <w:rFonts w:ascii="Arial Narrow" w:hAnsi="Arial Narrow"/>
                <w:snapToGrid w:val="0"/>
                <w:color w:val="000000"/>
                <w:sz w:val="16"/>
                <w:szCs w:val="16"/>
              </w:rPr>
              <w:tab/>
              <w:t>Εισαγωγές</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454"/>
              </w:tabs>
              <w:spacing w:line="160" w:lineRule="exact"/>
              <w:jc w:val="both"/>
              <w:rPr>
                <w:rFonts w:ascii="Arial Narrow" w:hAnsi="Arial Narrow"/>
                <w:iCs/>
                <w:sz w:val="16"/>
                <w:szCs w:val="16"/>
              </w:rPr>
            </w:pPr>
            <w:r w:rsidRPr="00E36044">
              <w:rPr>
                <w:rFonts w:ascii="Arial Narrow" w:hAnsi="Arial Narrow"/>
                <w:iCs/>
                <w:sz w:val="16"/>
                <w:szCs w:val="16"/>
              </w:rPr>
              <w:t>56.070,9</w:t>
            </w:r>
          </w:p>
        </w:tc>
        <w:tc>
          <w:tcPr>
            <w:tcW w:w="802" w:type="dxa"/>
            <w:tcBorders>
              <w:top w:val="nil"/>
              <w:left w:val="nil"/>
              <w:bottom w:val="nil"/>
              <w:right w:val="nil"/>
            </w:tcBorders>
            <w:shd w:val="clear" w:color="auto" w:fill="FFFFFF"/>
            <w:vAlign w:val="bottom"/>
          </w:tcPr>
          <w:p w:rsidR="00E36044" w:rsidRPr="00E36044" w:rsidRDefault="00E36044" w:rsidP="00B364B5">
            <w:pPr>
              <w:tabs>
                <w:tab w:val="decimal" w:pos="526"/>
              </w:tabs>
              <w:spacing w:line="160" w:lineRule="exact"/>
              <w:jc w:val="both"/>
              <w:rPr>
                <w:rFonts w:ascii="Arial Narrow" w:hAnsi="Arial Narrow"/>
                <w:iCs/>
                <w:sz w:val="16"/>
                <w:szCs w:val="16"/>
              </w:rPr>
            </w:pPr>
            <w:r w:rsidRPr="00E36044">
              <w:rPr>
                <w:rFonts w:ascii="Arial Narrow" w:hAnsi="Arial Narrow"/>
                <w:iCs/>
                <w:sz w:val="16"/>
                <w:szCs w:val="16"/>
              </w:rPr>
              <w:t>63.491,9</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504"/>
              </w:tabs>
              <w:spacing w:line="160" w:lineRule="exact"/>
              <w:jc w:val="both"/>
              <w:rPr>
                <w:rFonts w:ascii="Arial Narrow" w:hAnsi="Arial Narrow"/>
                <w:iCs/>
                <w:sz w:val="16"/>
                <w:szCs w:val="16"/>
              </w:rPr>
            </w:pPr>
            <w:r w:rsidRPr="00E36044">
              <w:rPr>
                <w:rFonts w:ascii="Arial Narrow" w:hAnsi="Arial Narrow"/>
                <w:iCs/>
                <w:sz w:val="16"/>
                <w:szCs w:val="16"/>
              </w:rPr>
              <w:t>72.716,9</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495"/>
              </w:tabs>
              <w:spacing w:line="160" w:lineRule="exact"/>
              <w:jc w:val="both"/>
              <w:rPr>
                <w:rFonts w:ascii="Arial Narrow" w:hAnsi="Arial Narrow"/>
                <w:iCs/>
                <w:sz w:val="16"/>
                <w:szCs w:val="16"/>
              </w:rPr>
            </w:pPr>
            <w:r w:rsidRPr="00E36044">
              <w:rPr>
                <w:rFonts w:ascii="Arial Narrow" w:hAnsi="Arial Narrow"/>
                <w:iCs/>
                <w:sz w:val="16"/>
                <w:szCs w:val="16"/>
              </w:rPr>
              <w:t>46.820,3</w:t>
            </w:r>
          </w:p>
        </w:tc>
        <w:tc>
          <w:tcPr>
            <w:tcW w:w="802" w:type="dxa"/>
            <w:tcBorders>
              <w:top w:val="nil"/>
              <w:left w:val="nil"/>
              <w:bottom w:val="nil"/>
              <w:right w:val="nil"/>
            </w:tcBorders>
            <w:shd w:val="clear" w:color="auto" w:fill="FFFFFF"/>
            <w:vAlign w:val="bottom"/>
          </w:tcPr>
          <w:p w:rsidR="00E36044" w:rsidRPr="00E36044" w:rsidRDefault="00E36044" w:rsidP="00160188">
            <w:pPr>
              <w:tabs>
                <w:tab w:val="decimal" w:pos="500"/>
              </w:tabs>
              <w:spacing w:line="160" w:lineRule="exact"/>
              <w:jc w:val="both"/>
              <w:rPr>
                <w:rFonts w:ascii="Arial Narrow" w:hAnsi="Arial Narrow"/>
                <w:iCs/>
                <w:sz w:val="16"/>
                <w:szCs w:val="16"/>
              </w:rPr>
            </w:pPr>
            <w:r w:rsidRPr="00E36044">
              <w:rPr>
                <w:rFonts w:ascii="Arial Narrow" w:hAnsi="Arial Narrow"/>
                <w:iCs/>
                <w:sz w:val="16"/>
                <w:szCs w:val="16"/>
              </w:rPr>
              <w:t>53.605,7</w:t>
            </w:r>
          </w:p>
        </w:tc>
        <w:tc>
          <w:tcPr>
            <w:tcW w:w="779" w:type="dxa"/>
            <w:tcBorders>
              <w:top w:val="nil"/>
              <w:left w:val="nil"/>
              <w:bottom w:val="nil"/>
            </w:tcBorders>
            <w:shd w:val="clear" w:color="auto" w:fill="FFFFFF"/>
            <w:vAlign w:val="bottom"/>
          </w:tcPr>
          <w:p w:rsidR="00E36044" w:rsidRPr="00E36044" w:rsidRDefault="00E36044" w:rsidP="00160188">
            <w:pPr>
              <w:tabs>
                <w:tab w:val="decimal" w:pos="458"/>
              </w:tabs>
              <w:spacing w:line="160" w:lineRule="exact"/>
              <w:jc w:val="both"/>
              <w:rPr>
                <w:rFonts w:ascii="Arial Narrow" w:hAnsi="Arial Narrow"/>
                <w:iCs/>
                <w:sz w:val="16"/>
                <w:szCs w:val="16"/>
              </w:rPr>
            </w:pPr>
            <w:r w:rsidRPr="00E36044">
              <w:rPr>
                <w:rFonts w:ascii="Arial Narrow" w:hAnsi="Arial Narrow"/>
                <w:iCs/>
                <w:sz w:val="16"/>
                <w:szCs w:val="16"/>
              </w:rPr>
              <w:t>55.625,6</w:t>
            </w:r>
          </w:p>
        </w:tc>
      </w:tr>
      <w:tr w:rsidR="00D37EC4" w:rsidRPr="00E94162" w:rsidTr="0075623F">
        <w:trPr>
          <w:cantSplit/>
          <w:trHeight w:val="20"/>
          <w:jc w:val="center"/>
        </w:trPr>
        <w:tc>
          <w:tcPr>
            <w:tcW w:w="4283" w:type="dxa"/>
            <w:tcBorders>
              <w:top w:val="nil"/>
              <w:bottom w:val="nil"/>
              <w:right w:val="nil"/>
            </w:tcBorders>
            <w:shd w:val="clear" w:color="auto" w:fill="FFFFFF"/>
          </w:tcPr>
          <w:p w:rsidR="00D37EC4" w:rsidRPr="00E94162" w:rsidRDefault="00D37EC4" w:rsidP="0075623F">
            <w:pPr>
              <w:tabs>
                <w:tab w:val="left" w:pos="426"/>
              </w:tabs>
              <w:spacing w:line="160" w:lineRule="exact"/>
              <w:jc w:val="both"/>
              <w:rPr>
                <w:rFonts w:ascii="Arial Narrow" w:hAnsi="Arial Narrow"/>
                <w:b/>
                <w:snapToGrid w:val="0"/>
                <w:color w:val="000000"/>
                <w:sz w:val="4"/>
                <w:szCs w:val="16"/>
              </w:rPr>
            </w:pPr>
          </w:p>
        </w:tc>
        <w:tc>
          <w:tcPr>
            <w:tcW w:w="802" w:type="dxa"/>
            <w:tcBorders>
              <w:top w:val="nil"/>
              <w:left w:val="nil"/>
              <w:bottom w:val="nil"/>
              <w:right w:val="nil"/>
            </w:tcBorders>
            <w:shd w:val="clear" w:color="auto" w:fill="FFFFFF"/>
            <w:vAlign w:val="bottom"/>
          </w:tcPr>
          <w:p w:rsidR="00D37EC4" w:rsidRPr="00E94162" w:rsidRDefault="00D37EC4" w:rsidP="00160188">
            <w:pPr>
              <w:tabs>
                <w:tab w:val="decimal" w:pos="454"/>
                <w:tab w:val="decimal" w:pos="508"/>
              </w:tabs>
              <w:spacing w:line="16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D37EC4" w:rsidRPr="00E94162" w:rsidRDefault="00D37EC4" w:rsidP="00B364B5">
            <w:pPr>
              <w:tabs>
                <w:tab w:val="decimal" w:pos="526"/>
              </w:tabs>
              <w:spacing w:line="16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D37EC4" w:rsidRPr="00E94162" w:rsidRDefault="00D37EC4" w:rsidP="00160188">
            <w:pPr>
              <w:tabs>
                <w:tab w:val="decimal" w:pos="477"/>
                <w:tab w:val="decimal" w:pos="504"/>
              </w:tabs>
              <w:spacing w:line="16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D37EC4" w:rsidRPr="00E94162" w:rsidRDefault="00D37EC4" w:rsidP="00160188">
            <w:pPr>
              <w:tabs>
                <w:tab w:val="decimal" w:pos="495"/>
                <w:tab w:val="decimal" w:pos="508"/>
              </w:tabs>
              <w:spacing w:line="160" w:lineRule="exact"/>
              <w:jc w:val="both"/>
              <w:rPr>
                <w:rFonts w:ascii="Arial Narrow" w:hAnsi="Arial Narrow" w:cs="Calibri"/>
                <w:b/>
                <w:bCs/>
                <w:i/>
                <w:sz w:val="4"/>
                <w:szCs w:val="16"/>
              </w:rPr>
            </w:pPr>
          </w:p>
        </w:tc>
        <w:tc>
          <w:tcPr>
            <w:tcW w:w="802" w:type="dxa"/>
            <w:tcBorders>
              <w:top w:val="nil"/>
              <w:left w:val="nil"/>
              <w:bottom w:val="nil"/>
              <w:right w:val="nil"/>
            </w:tcBorders>
            <w:shd w:val="clear" w:color="auto" w:fill="FFFFFF"/>
            <w:vAlign w:val="bottom"/>
          </w:tcPr>
          <w:p w:rsidR="00D37EC4" w:rsidRPr="00E94162" w:rsidRDefault="00D37EC4" w:rsidP="00160188">
            <w:pPr>
              <w:tabs>
                <w:tab w:val="decimal" w:pos="453"/>
                <w:tab w:val="decimal" w:pos="500"/>
              </w:tabs>
              <w:spacing w:line="160" w:lineRule="exact"/>
              <w:jc w:val="both"/>
              <w:rPr>
                <w:rFonts w:ascii="Arial Narrow" w:hAnsi="Arial Narrow" w:cs="Calibri"/>
                <w:b/>
                <w:bCs/>
                <w:i/>
                <w:sz w:val="4"/>
                <w:szCs w:val="16"/>
              </w:rPr>
            </w:pPr>
          </w:p>
        </w:tc>
        <w:tc>
          <w:tcPr>
            <w:tcW w:w="779" w:type="dxa"/>
            <w:tcBorders>
              <w:top w:val="nil"/>
              <w:left w:val="nil"/>
              <w:bottom w:val="nil"/>
            </w:tcBorders>
            <w:shd w:val="clear" w:color="auto" w:fill="FFFFFF"/>
            <w:vAlign w:val="bottom"/>
          </w:tcPr>
          <w:p w:rsidR="00D37EC4" w:rsidRPr="00E94162" w:rsidRDefault="00D37EC4" w:rsidP="00160188">
            <w:pPr>
              <w:tabs>
                <w:tab w:val="decimal" w:pos="458"/>
                <w:tab w:val="decimal" w:pos="471"/>
                <w:tab w:val="decimal" w:pos="508"/>
              </w:tabs>
              <w:spacing w:line="160" w:lineRule="exact"/>
              <w:jc w:val="both"/>
              <w:rPr>
                <w:rFonts w:ascii="Arial Narrow" w:hAnsi="Arial Narrow" w:cs="Calibri"/>
                <w:b/>
                <w:bCs/>
                <w:i/>
                <w:sz w:val="4"/>
                <w:szCs w:val="16"/>
              </w:rPr>
            </w:pPr>
          </w:p>
        </w:tc>
      </w:tr>
      <w:tr w:rsidR="00E36044" w:rsidTr="0075623F">
        <w:trPr>
          <w:cantSplit/>
          <w:trHeight w:val="20"/>
          <w:jc w:val="center"/>
        </w:trPr>
        <w:tc>
          <w:tcPr>
            <w:tcW w:w="4283" w:type="dxa"/>
            <w:tcBorders>
              <w:top w:val="nil"/>
              <w:bottom w:val="nil"/>
              <w:right w:val="nil"/>
            </w:tcBorders>
            <w:shd w:val="clear" w:color="auto" w:fill="D9D9D9" w:themeFill="background1" w:themeFillShade="D9"/>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Ι.A</w:t>
            </w:r>
            <w:r w:rsidRPr="00472EC7">
              <w:rPr>
                <w:rFonts w:ascii="Arial Narrow" w:hAnsi="Arial Narrow"/>
                <w:b/>
                <w:snapToGrid w:val="0"/>
                <w:color w:val="000000"/>
                <w:sz w:val="16"/>
                <w:szCs w:val="16"/>
              </w:rPr>
              <w:tab/>
            </w:r>
            <w:r>
              <w:rPr>
                <w:rFonts w:ascii="Arial Narrow" w:hAnsi="Arial Narrow"/>
                <w:b/>
                <w:snapToGrid w:val="0"/>
                <w:color w:val="000000"/>
                <w:sz w:val="16"/>
                <w:szCs w:val="16"/>
              </w:rPr>
              <w:t>Ι</w:t>
            </w:r>
            <w:r w:rsidRPr="00472EC7">
              <w:rPr>
                <w:rFonts w:ascii="Arial Narrow" w:hAnsi="Arial Narrow"/>
                <w:b/>
                <w:snapToGrid w:val="0"/>
                <w:color w:val="000000"/>
                <w:sz w:val="16"/>
                <w:szCs w:val="16"/>
              </w:rPr>
              <w:t xml:space="preserve">σοζύγιο </w:t>
            </w:r>
            <w:r>
              <w:rPr>
                <w:rFonts w:ascii="Arial Narrow" w:hAnsi="Arial Narrow"/>
                <w:b/>
                <w:snapToGrid w:val="0"/>
                <w:color w:val="000000"/>
                <w:sz w:val="16"/>
                <w:szCs w:val="16"/>
              </w:rPr>
              <w:t xml:space="preserve">αγαθών </w:t>
            </w:r>
            <w:r w:rsidRPr="00472EC7">
              <w:rPr>
                <w:rFonts w:ascii="Arial Narrow" w:hAnsi="Arial Narrow"/>
                <w:b/>
                <w:snapToGrid w:val="0"/>
                <w:color w:val="000000"/>
                <w:sz w:val="16"/>
                <w:szCs w:val="16"/>
              </w:rPr>
              <w:t>( I.Α.1 -</w:t>
            </w:r>
            <w:r>
              <w:rPr>
                <w:rFonts w:ascii="Arial Narrow" w:hAnsi="Arial Narrow"/>
                <w:b/>
                <w:snapToGrid w:val="0"/>
                <w:color w:val="000000"/>
                <w:sz w:val="16"/>
                <w:szCs w:val="16"/>
              </w:rPr>
              <w:t xml:space="preserve"> </w:t>
            </w:r>
            <w:r w:rsidRPr="00472EC7">
              <w:rPr>
                <w:rFonts w:ascii="Arial Narrow" w:hAnsi="Arial Narrow"/>
                <w:b/>
                <w:snapToGrid w:val="0"/>
                <w:color w:val="000000"/>
                <w:sz w:val="16"/>
                <w:szCs w:val="16"/>
              </w:rPr>
              <w:t>I.Α.2)</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-17.960,3</w:t>
            </w:r>
          </w:p>
        </w:tc>
        <w:tc>
          <w:tcPr>
            <w:tcW w:w="802" w:type="dxa"/>
            <w:tcBorders>
              <w:top w:val="nil"/>
              <w:left w:val="nil"/>
              <w:bottom w:val="nil"/>
              <w:right w:val="nil"/>
            </w:tcBorders>
            <w:shd w:val="clear" w:color="auto" w:fill="D9D9D9" w:themeFill="background1" w:themeFillShade="D9"/>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-19.833,9</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-22.489,1</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-14.816,5</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-16.568,0</w:t>
            </w:r>
          </w:p>
        </w:tc>
        <w:tc>
          <w:tcPr>
            <w:tcW w:w="779" w:type="dxa"/>
            <w:tcBorders>
              <w:top w:val="nil"/>
              <w:left w:val="nil"/>
              <w:bottom w:val="nil"/>
            </w:tcBorders>
            <w:shd w:val="clear" w:color="auto" w:fill="D9D9D9" w:themeFill="background1" w:themeFillShade="D9"/>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-17.468,6</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I.A.1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Εξαγωγές</w:t>
            </w:r>
            <w:r>
              <w:rPr>
                <w:rFonts w:ascii="Arial Narrow" w:hAnsi="Arial Narrow"/>
                <w:b/>
                <w:snapToGrid w:val="0"/>
                <w:color w:val="000000"/>
                <w:sz w:val="16"/>
                <w:szCs w:val="16"/>
              </w:rPr>
              <w:t xml:space="preserve"> </w:t>
            </w:r>
            <w:r w:rsidRPr="00472EC7">
              <w:rPr>
                <w:rFonts w:ascii="Arial Narrow" w:hAnsi="Arial Narrow"/>
                <w:b/>
                <w:snapToGrid w:val="0"/>
                <w:color w:val="000000"/>
                <w:sz w:val="16"/>
                <w:szCs w:val="16"/>
              </w:rPr>
              <w:t>αγαθών</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24.613,2</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28.040,5</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32.372,8</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20.519,6</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23.908,9</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24.274,5</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Καύσιμα</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6.162,5</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7.887,8</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10.016,9</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5.717,4</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7.343,8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6.940,1</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Πλοία (</w:t>
            </w:r>
            <w:r>
              <w:rPr>
                <w:rFonts w:ascii="Arial Narrow" w:hAnsi="Arial Narrow"/>
                <w:snapToGrid w:val="0"/>
                <w:color w:val="000000"/>
                <w:sz w:val="16"/>
                <w:szCs w:val="16"/>
              </w:rPr>
              <w:t>πωλήσεις</w:t>
            </w:r>
            <w:r w:rsidRPr="00472EC7">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119,8</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102,0</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130,9</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80,0</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123,6</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58,2</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w:t>
            </w:r>
            <w:r w:rsidRPr="00472EC7">
              <w:rPr>
                <w:rFonts w:ascii="Arial Narrow" w:hAnsi="Arial Narrow"/>
                <w:snapToGrid w:val="0"/>
                <w:color w:val="000000"/>
                <w:sz w:val="16"/>
                <w:szCs w:val="16"/>
              </w:rPr>
              <w:t>γαθά</w:t>
            </w:r>
            <w:r>
              <w:rPr>
                <w:rFonts w:ascii="Arial Narrow" w:hAnsi="Arial Narrow"/>
                <w:snapToGrid w:val="0"/>
                <w:color w:val="000000"/>
                <w:sz w:val="16"/>
                <w:szCs w:val="16"/>
              </w:rPr>
              <w:t xml:space="preserve"> χωρίς καύσιμα και πλοία</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18.330,9</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20.050,7</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22.225,0</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14.722,3</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16.441,5</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17.276,1</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I.A.2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Εισαγωγές</w:t>
            </w:r>
            <w:r>
              <w:rPr>
                <w:rFonts w:ascii="Arial Narrow" w:hAnsi="Arial Narrow"/>
                <w:b/>
                <w:snapToGrid w:val="0"/>
                <w:color w:val="000000"/>
                <w:sz w:val="16"/>
                <w:szCs w:val="16"/>
              </w:rPr>
              <w:t xml:space="preserve"> </w:t>
            </w:r>
            <w:r w:rsidRPr="00472EC7">
              <w:rPr>
                <w:rFonts w:ascii="Arial Narrow" w:hAnsi="Arial Narrow"/>
                <w:b/>
                <w:snapToGrid w:val="0"/>
                <w:color w:val="000000"/>
                <w:sz w:val="16"/>
                <w:szCs w:val="16"/>
              </w:rPr>
              <w:t>αγαθών</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42.573,5</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47.874,4</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54.861,9</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35.336,1</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40.476,9</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41.743,0</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Καύσιμα</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9.148,0</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11.605,4</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15.197,5</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8.537,1</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11.193,8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10.897,2</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Πλοία (</w:t>
            </w:r>
            <w:r>
              <w:rPr>
                <w:rFonts w:ascii="Arial Narrow" w:hAnsi="Arial Narrow"/>
                <w:snapToGrid w:val="0"/>
                <w:color w:val="000000"/>
                <w:sz w:val="16"/>
                <w:szCs w:val="16"/>
              </w:rPr>
              <w:t>αγορές</w:t>
            </w:r>
            <w:r w:rsidRPr="00472EC7">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88,4</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141,9</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187,7</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93,4</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171,5</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339,1</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w:t>
            </w:r>
            <w:r w:rsidRPr="00472EC7">
              <w:rPr>
                <w:rFonts w:ascii="Arial Narrow" w:hAnsi="Arial Narrow"/>
                <w:snapToGrid w:val="0"/>
                <w:color w:val="000000"/>
                <w:sz w:val="16"/>
                <w:szCs w:val="16"/>
              </w:rPr>
              <w:t>γαθά</w:t>
            </w:r>
            <w:r>
              <w:rPr>
                <w:rFonts w:ascii="Arial Narrow" w:hAnsi="Arial Narrow"/>
                <w:snapToGrid w:val="0"/>
                <w:color w:val="000000"/>
                <w:sz w:val="16"/>
                <w:szCs w:val="16"/>
              </w:rPr>
              <w:t xml:space="preserve"> χωρίς καύσιμα και πλοία</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33.337,1</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36.127,0</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39.476,7</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26.705,6</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29.111,6</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30.506,8</w:t>
            </w:r>
          </w:p>
        </w:tc>
      </w:tr>
      <w:tr w:rsidR="00E36044" w:rsidTr="0075623F">
        <w:trPr>
          <w:cantSplit/>
          <w:trHeight w:val="20"/>
          <w:jc w:val="center"/>
        </w:trPr>
        <w:tc>
          <w:tcPr>
            <w:tcW w:w="4283" w:type="dxa"/>
            <w:tcBorders>
              <w:top w:val="nil"/>
              <w:bottom w:val="nil"/>
              <w:right w:val="nil"/>
            </w:tcBorders>
            <w:shd w:val="clear" w:color="auto" w:fill="D9D9D9" w:themeFill="background1" w:themeFillShade="D9"/>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Ι.Β</w:t>
            </w:r>
            <w:r w:rsidRPr="00472EC7">
              <w:rPr>
                <w:rFonts w:ascii="Arial Narrow" w:hAnsi="Arial Narrow"/>
                <w:b/>
                <w:snapToGrid w:val="0"/>
                <w:color w:val="000000"/>
                <w:sz w:val="16"/>
                <w:szCs w:val="16"/>
              </w:rPr>
              <w:tab/>
              <w:t>Ισοζύγιο υπηρεσιών ( I.Β.1 -</w:t>
            </w:r>
            <w:r>
              <w:rPr>
                <w:rFonts w:ascii="Arial Narrow" w:hAnsi="Arial Narrow"/>
                <w:b/>
                <w:snapToGrid w:val="0"/>
                <w:color w:val="000000"/>
                <w:sz w:val="16"/>
                <w:szCs w:val="16"/>
              </w:rPr>
              <w:t xml:space="preserve"> </w:t>
            </w:r>
            <w:r w:rsidRPr="00472EC7">
              <w:rPr>
                <w:rFonts w:ascii="Arial Narrow" w:hAnsi="Arial Narrow"/>
                <w:b/>
                <w:snapToGrid w:val="0"/>
                <w:color w:val="000000"/>
                <w:sz w:val="16"/>
                <w:szCs w:val="16"/>
              </w:rPr>
              <w:t>I.Β.2)</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16.297,6</w:t>
            </w:r>
          </w:p>
        </w:tc>
        <w:tc>
          <w:tcPr>
            <w:tcW w:w="802" w:type="dxa"/>
            <w:tcBorders>
              <w:top w:val="nil"/>
              <w:left w:val="nil"/>
              <w:bottom w:val="nil"/>
              <w:right w:val="nil"/>
            </w:tcBorders>
            <w:shd w:val="clear" w:color="auto" w:fill="D9D9D9" w:themeFill="background1" w:themeFillShade="D9"/>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18.043,7</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19.304,4</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15.739,0</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16.397,1</w:t>
            </w:r>
          </w:p>
        </w:tc>
        <w:tc>
          <w:tcPr>
            <w:tcW w:w="779" w:type="dxa"/>
            <w:tcBorders>
              <w:top w:val="nil"/>
              <w:left w:val="nil"/>
              <w:bottom w:val="nil"/>
            </w:tcBorders>
            <w:shd w:val="clear" w:color="auto" w:fill="D9D9D9" w:themeFill="background1" w:themeFillShade="D9"/>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18.358,5</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I.B.1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29.795,0</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33.661,3</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37.159,3</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27.223,3</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29.525,8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32.241,0</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Ταξιδιωτικό</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13.206,7</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14.630,1</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16.085,8</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13.021,0</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14.112,6</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16.088,4</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Μεταφορές</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12.574,4</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14.473,8</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16.629,9</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10.797,1</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12.178,8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12.847,6</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Λοιπές υπηρεσίες</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4.013,9</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4.557,3</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4.443,6</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3.405,2</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3.234,4</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3.305,1</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I.B.2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Πληρωμές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13.497,5</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15.617,6</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17.854,9</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11.484,2</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13.128,8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13.882,5</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Ταξιδιωτικό</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2.005,3</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1.904,7</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2.191,0</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1.449,6</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1.605,8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2.056,1</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Μεταφορές</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7.988,9</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9.520,6</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11.044,3</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6.980,8</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8.059,7</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8.295,0</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Λοιπές υπηρεσίες</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3.503,2</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4.192,3</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4.619,6</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3.053,8</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3.463,3</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3.531,4</w:t>
            </w:r>
          </w:p>
        </w:tc>
      </w:tr>
      <w:tr w:rsidR="00E36044" w:rsidTr="0075623F">
        <w:trPr>
          <w:cantSplit/>
          <w:trHeight w:val="20"/>
          <w:jc w:val="center"/>
        </w:trPr>
        <w:tc>
          <w:tcPr>
            <w:tcW w:w="4283" w:type="dxa"/>
            <w:tcBorders>
              <w:top w:val="nil"/>
              <w:bottom w:val="nil"/>
              <w:right w:val="nil"/>
            </w:tcBorders>
            <w:shd w:val="clear" w:color="auto" w:fill="D9D9D9" w:themeFill="background1" w:themeFillShade="D9"/>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Ι.Γ</w:t>
            </w:r>
            <w:r w:rsidRPr="00472EC7">
              <w:rPr>
                <w:rFonts w:ascii="Arial Narrow" w:hAnsi="Arial Narrow"/>
                <w:b/>
                <w:snapToGrid w:val="0"/>
                <w:color w:val="000000"/>
                <w:sz w:val="16"/>
                <w:szCs w:val="16"/>
              </w:rPr>
              <w:tab/>
              <w:t xml:space="preserve">Ισοζύγιο </w:t>
            </w:r>
            <w:r>
              <w:rPr>
                <w:rFonts w:ascii="Arial Narrow" w:hAnsi="Arial Narrow"/>
                <w:b/>
                <w:snapToGrid w:val="0"/>
                <w:color w:val="000000"/>
                <w:sz w:val="16"/>
                <w:szCs w:val="16"/>
              </w:rPr>
              <w:t xml:space="preserve">πρωτογενών </w:t>
            </w:r>
            <w:r w:rsidRPr="00472EC7">
              <w:rPr>
                <w:rFonts w:ascii="Arial Narrow" w:hAnsi="Arial Narrow"/>
                <w:b/>
                <w:snapToGrid w:val="0"/>
                <w:color w:val="000000"/>
                <w:sz w:val="16"/>
                <w:szCs w:val="16"/>
              </w:rPr>
              <w:t>εισοδημάτων</w:t>
            </w:r>
            <w:r>
              <w:rPr>
                <w:rFonts w:ascii="Arial Narrow" w:hAnsi="Arial Narrow"/>
                <w:b/>
                <w:snapToGrid w:val="0"/>
                <w:color w:val="000000"/>
                <w:sz w:val="16"/>
                <w:szCs w:val="16"/>
              </w:rPr>
              <w:t xml:space="preserve"> </w:t>
            </w:r>
            <w:r w:rsidRPr="00472EC7">
              <w:rPr>
                <w:rFonts w:ascii="Arial Narrow" w:hAnsi="Arial Narrow"/>
                <w:b/>
                <w:snapToGrid w:val="0"/>
                <w:color w:val="000000"/>
                <w:sz w:val="16"/>
                <w:szCs w:val="16"/>
              </w:rPr>
              <w:t>(I.Γ.1 -</w:t>
            </w:r>
            <w:r>
              <w:rPr>
                <w:rFonts w:ascii="Arial Narrow" w:hAnsi="Arial Narrow"/>
                <w:b/>
                <w:snapToGrid w:val="0"/>
                <w:color w:val="000000"/>
                <w:sz w:val="16"/>
                <w:szCs w:val="16"/>
              </w:rPr>
              <w:t xml:space="preserve"> </w:t>
            </w:r>
            <w:r w:rsidRPr="00472EC7">
              <w:rPr>
                <w:rFonts w:ascii="Arial Narrow" w:hAnsi="Arial Narrow"/>
                <w:b/>
                <w:snapToGrid w:val="0"/>
                <w:color w:val="000000"/>
                <w:sz w:val="16"/>
                <w:szCs w:val="16"/>
              </w:rPr>
              <w:t>I.Γ.2)</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-798,9</w:t>
            </w:r>
          </w:p>
        </w:tc>
        <w:tc>
          <w:tcPr>
            <w:tcW w:w="802" w:type="dxa"/>
            <w:tcBorders>
              <w:top w:val="nil"/>
              <w:left w:val="nil"/>
              <w:bottom w:val="nil"/>
              <w:right w:val="nil"/>
            </w:tcBorders>
            <w:shd w:val="clear" w:color="auto" w:fill="D9D9D9" w:themeFill="background1" w:themeFillShade="D9"/>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-1.057,3</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-1.726,4</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-607,6</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-1.177,2</w:t>
            </w:r>
          </w:p>
        </w:tc>
        <w:tc>
          <w:tcPr>
            <w:tcW w:w="779" w:type="dxa"/>
            <w:tcBorders>
              <w:top w:val="nil"/>
              <w:left w:val="nil"/>
              <w:bottom w:val="nil"/>
            </w:tcBorders>
            <w:shd w:val="clear" w:color="auto" w:fill="D9D9D9" w:themeFill="background1" w:themeFillShade="D9"/>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-1.065,3</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 xml:space="preserve">I.Γ.1 </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6.217,5</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6.184,1</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6.058,5</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5.039,5</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4.825,5</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4.773,0</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εργασία (α</w:t>
            </w:r>
            <w:r w:rsidRPr="00472EC7">
              <w:rPr>
                <w:rFonts w:ascii="Arial Narrow" w:hAnsi="Arial Narrow"/>
                <w:snapToGrid w:val="0"/>
                <w:color w:val="000000"/>
                <w:sz w:val="16"/>
                <w:szCs w:val="16"/>
              </w:rPr>
              <w:t>μοιβές, μισθοί</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211,4</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216,6</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223,0</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166,1</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157,3</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185,3</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επενδύσεις (τ</w:t>
            </w:r>
            <w:r w:rsidRPr="00472EC7">
              <w:rPr>
                <w:rFonts w:ascii="Arial Narrow" w:hAnsi="Arial Narrow"/>
                <w:snapToGrid w:val="0"/>
                <w:color w:val="000000"/>
                <w:sz w:val="16"/>
                <w:szCs w:val="16"/>
              </w:rPr>
              <w:t>όκοι, μερίσματα, κέρδη</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2.828,0</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3.148,0</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2.731,4</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2.500,6</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1.946,7</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2.063,1</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ab/>
              <w:t>Λοιπά πρωτογενή εισοδήματα</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3.178,2</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2.819,5</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3.104,1</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2.372,9</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2.721,6</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2.524,6</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 xml:space="preserve">I.Γ.2 </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Πληρωμές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7.016,5</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7.241,3</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7.784,9</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5.647,0</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6.002,8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5.838,3</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εργασία (α</w:t>
            </w:r>
            <w:r w:rsidRPr="00472EC7">
              <w:rPr>
                <w:rFonts w:ascii="Arial Narrow" w:hAnsi="Arial Narrow"/>
                <w:snapToGrid w:val="0"/>
                <w:color w:val="000000"/>
                <w:sz w:val="16"/>
                <w:szCs w:val="16"/>
              </w:rPr>
              <w:t>μοιβές, μισθοί</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1.211,6</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1.343,7</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1.363,7</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1.016,8</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1.007,3</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1.060,7</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r>
            <w:r>
              <w:rPr>
                <w:rFonts w:ascii="Arial Narrow" w:hAnsi="Arial Narrow"/>
                <w:snapToGrid w:val="0"/>
                <w:color w:val="000000"/>
                <w:sz w:val="16"/>
                <w:szCs w:val="16"/>
              </w:rPr>
              <w:t>Από επενδύσεις (τ</w:t>
            </w:r>
            <w:r w:rsidRPr="00472EC7">
              <w:rPr>
                <w:rFonts w:ascii="Arial Narrow" w:hAnsi="Arial Narrow"/>
                <w:snapToGrid w:val="0"/>
                <w:color w:val="000000"/>
                <w:sz w:val="16"/>
                <w:szCs w:val="16"/>
              </w:rPr>
              <w:t>όκοι, μερίσματα, κέρδη</w:t>
            </w:r>
            <w:r>
              <w:rPr>
                <w:rFonts w:ascii="Arial Narrow" w:hAnsi="Arial Narrow"/>
                <w:snapToGrid w:val="0"/>
                <w:color w:val="000000"/>
                <w:sz w:val="16"/>
                <w:szCs w:val="16"/>
              </w:rPr>
              <w:t>)</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5.380,4</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5.492,3</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6.019,1</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4.313,9</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4.683,0</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4.435,3</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ab/>
              <w:t>Λοιπά πρωτογενή εισοδήματα</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424,5</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405,4</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402,1</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316,4</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312,5</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342,3</w:t>
            </w:r>
          </w:p>
        </w:tc>
      </w:tr>
      <w:tr w:rsidR="00E36044" w:rsidTr="0075623F">
        <w:trPr>
          <w:cantSplit/>
          <w:trHeight w:val="20"/>
          <w:jc w:val="center"/>
        </w:trPr>
        <w:tc>
          <w:tcPr>
            <w:tcW w:w="4283" w:type="dxa"/>
            <w:tcBorders>
              <w:top w:val="nil"/>
              <w:bottom w:val="nil"/>
              <w:right w:val="nil"/>
            </w:tcBorders>
            <w:shd w:val="clear" w:color="auto" w:fill="D9D9D9" w:themeFill="background1" w:themeFillShade="D9"/>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Ι.Δ</w:t>
            </w:r>
            <w:r w:rsidRPr="00472EC7">
              <w:rPr>
                <w:rFonts w:ascii="Arial Narrow" w:hAnsi="Arial Narrow"/>
                <w:b/>
                <w:snapToGrid w:val="0"/>
                <w:color w:val="000000"/>
                <w:sz w:val="16"/>
                <w:szCs w:val="16"/>
              </w:rPr>
              <w:tab/>
              <w:t xml:space="preserve">Ισοζύγιο </w:t>
            </w:r>
            <w:r>
              <w:rPr>
                <w:rFonts w:ascii="Arial Narrow" w:hAnsi="Arial Narrow"/>
                <w:b/>
                <w:snapToGrid w:val="0"/>
                <w:color w:val="000000"/>
                <w:sz w:val="16"/>
                <w:szCs w:val="16"/>
              </w:rPr>
              <w:t xml:space="preserve">δευτερογενών εισοδημάτων </w:t>
            </w:r>
            <w:r w:rsidRPr="00472EC7">
              <w:rPr>
                <w:rFonts w:ascii="Arial Narrow" w:hAnsi="Arial Narrow"/>
                <w:b/>
                <w:snapToGrid w:val="0"/>
                <w:color w:val="000000"/>
                <w:sz w:val="16"/>
                <w:szCs w:val="16"/>
              </w:rPr>
              <w:t>(I.Δ.1 - I.Δ.2)</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-588,4</w:t>
            </w:r>
          </w:p>
        </w:tc>
        <w:tc>
          <w:tcPr>
            <w:tcW w:w="802" w:type="dxa"/>
            <w:tcBorders>
              <w:top w:val="nil"/>
              <w:left w:val="nil"/>
              <w:bottom w:val="nil"/>
              <w:right w:val="nil"/>
            </w:tcBorders>
            <w:shd w:val="clear" w:color="auto" w:fill="D9D9D9" w:themeFill="background1" w:themeFillShade="D9"/>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-558,7</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-321,1</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-272,2</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-9,2</w:t>
            </w:r>
          </w:p>
        </w:tc>
        <w:tc>
          <w:tcPr>
            <w:tcW w:w="779" w:type="dxa"/>
            <w:tcBorders>
              <w:top w:val="nil"/>
              <w:left w:val="nil"/>
              <w:bottom w:val="nil"/>
            </w:tcBorders>
            <w:shd w:val="clear" w:color="auto" w:fill="D9D9D9" w:themeFill="background1" w:themeFillShade="D9"/>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151,3</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I.Δ.1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1.838,0</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1.949,9</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2.177,6</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1.550,4</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1.714,6</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2.647,4</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Γενική </w:t>
            </w:r>
            <w:r>
              <w:rPr>
                <w:rFonts w:ascii="Arial Narrow" w:hAnsi="Arial Narrow"/>
                <w:snapToGrid w:val="0"/>
                <w:color w:val="000000"/>
                <w:sz w:val="16"/>
                <w:szCs w:val="16"/>
              </w:rPr>
              <w:t>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1.059,4</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939,8</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1.034,7</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791,0</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907,2</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1.588,5</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Λοιποί τομείς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778,6</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1.010,1</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1.142,9</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759,4</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807,4</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1.058,9</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I.Δ.2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Πληρωμές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2.426,4</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2.508,6</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2.498,8</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1.822,6</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1.723,8</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2.496,1</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Γενική </w:t>
            </w:r>
            <w:r>
              <w:rPr>
                <w:rFonts w:ascii="Arial Narrow" w:hAnsi="Arial Narrow"/>
                <w:snapToGrid w:val="0"/>
                <w:color w:val="000000"/>
                <w:sz w:val="16"/>
                <w:szCs w:val="16"/>
              </w:rPr>
              <w:t>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1.850,7</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1.792,7</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1.702,8</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1.288,3</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1.195,2</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1.463,5</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Λοιποί τομείς</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575,7</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715,9</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796,0</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534,2</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528,5</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1.032,5</w:t>
            </w:r>
          </w:p>
        </w:tc>
      </w:tr>
      <w:tr w:rsidR="00E36044" w:rsidTr="0075623F">
        <w:trPr>
          <w:cantSplit/>
          <w:trHeight w:val="20"/>
          <w:jc w:val="center"/>
        </w:trPr>
        <w:tc>
          <w:tcPr>
            <w:tcW w:w="4283" w:type="dxa"/>
            <w:tcBorders>
              <w:top w:val="nil"/>
              <w:bottom w:val="nil"/>
              <w:right w:val="nil"/>
            </w:tcBorders>
            <w:shd w:val="clear" w:color="auto" w:fill="D9D9D9" w:themeFill="background1" w:themeFillShade="D9"/>
          </w:tcPr>
          <w:p w:rsidR="00E36044" w:rsidRPr="00472EC7" w:rsidRDefault="00E36044" w:rsidP="0075623F">
            <w:pPr>
              <w:tabs>
                <w:tab w:val="left" w:pos="426"/>
              </w:tabs>
              <w:spacing w:line="160" w:lineRule="exact"/>
              <w:rPr>
                <w:rFonts w:ascii="Arial Narrow" w:hAnsi="Arial Narrow"/>
                <w:b/>
                <w:i/>
                <w:snapToGrid w:val="0"/>
                <w:color w:val="000000"/>
                <w:sz w:val="16"/>
                <w:szCs w:val="16"/>
              </w:rPr>
            </w:pPr>
            <w:r w:rsidRPr="00472EC7">
              <w:rPr>
                <w:rFonts w:ascii="Arial Narrow" w:hAnsi="Arial Narrow"/>
                <w:b/>
                <w:snapToGrid w:val="0"/>
                <w:color w:val="000000"/>
                <w:sz w:val="16"/>
                <w:szCs w:val="16"/>
              </w:rPr>
              <w:t>IΙ.</w:t>
            </w:r>
            <w:r w:rsidRPr="00472EC7">
              <w:rPr>
                <w:rFonts w:ascii="Arial Narrow" w:hAnsi="Arial Narrow"/>
                <w:b/>
                <w:snapToGrid w:val="0"/>
                <w:color w:val="000000"/>
                <w:sz w:val="16"/>
                <w:szCs w:val="16"/>
              </w:rPr>
              <w:tab/>
              <w:t>Ισοζύγιο κεφαλα</w:t>
            </w:r>
            <w:r>
              <w:rPr>
                <w:rFonts w:ascii="Arial Narrow" w:hAnsi="Arial Narrow"/>
                <w:b/>
                <w:snapToGrid w:val="0"/>
                <w:color w:val="000000"/>
                <w:sz w:val="16"/>
                <w:szCs w:val="16"/>
              </w:rPr>
              <w:t xml:space="preserve">ίων </w:t>
            </w:r>
            <w:r w:rsidRPr="00472EC7">
              <w:rPr>
                <w:rFonts w:ascii="Arial Narrow" w:hAnsi="Arial Narrow"/>
                <w:b/>
                <w:snapToGrid w:val="0"/>
                <w:color w:val="000000"/>
                <w:sz w:val="16"/>
                <w:szCs w:val="16"/>
              </w:rPr>
              <w:t>(ΙΙ.1-ΙΙ.2)</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1.035,7</w:t>
            </w:r>
          </w:p>
        </w:tc>
        <w:tc>
          <w:tcPr>
            <w:tcW w:w="802" w:type="dxa"/>
            <w:tcBorders>
              <w:top w:val="nil"/>
              <w:left w:val="nil"/>
              <w:bottom w:val="nil"/>
              <w:right w:val="nil"/>
            </w:tcBorders>
            <w:shd w:val="clear" w:color="auto" w:fill="D9D9D9" w:themeFill="background1" w:themeFillShade="D9"/>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914,5</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353,2</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353,4</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166,3</w:t>
            </w:r>
          </w:p>
        </w:tc>
        <w:tc>
          <w:tcPr>
            <w:tcW w:w="779" w:type="dxa"/>
            <w:tcBorders>
              <w:top w:val="nil"/>
              <w:left w:val="nil"/>
              <w:bottom w:val="nil"/>
            </w:tcBorders>
            <w:shd w:val="clear" w:color="auto" w:fill="D9D9D9" w:themeFill="background1" w:themeFillShade="D9"/>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214,0</w:t>
            </w:r>
          </w:p>
        </w:tc>
      </w:tr>
      <w:tr w:rsidR="00E36044" w:rsidTr="0075623F">
        <w:trPr>
          <w:cantSplit/>
          <w:trHeight w:val="20"/>
          <w:jc w:val="center"/>
        </w:trPr>
        <w:tc>
          <w:tcPr>
            <w:tcW w:w="4283" w:type="dxa"/>
            <w:tcBorders>
              <w:top w:val="nil"/>
              <w:bottom w:val="nil"/>
              <w:right w:val="nil"/>
            </w:tcBorders>
            <w:shd w:val="clear" w:color="auto" w:fill="auto"/>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IΙ.1</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 xml:space="preserve">Εισπράξεις </w:t>
            </w:r>
          </w:p>
        </w:tc>
        <w:tc>
          <w:tcPr>
            <w:tcW w:w="802" w:type="dxa"/>
            <w:tcBorders>
              <w:top w:val="nil"/>
              <w:left w:val="nil"/>
              <w:bottom w:val="nil"/>
              <w:right w:val="nil"/>
            </w:tcBorders>
            <w:shd w:val="clear" w:color="auto" w:fill="auto"/>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1.278,4</w:t>
            </w:r>
          </w:p>
        </w:tc>
        <w:tc>
          <w:tcPr>
            <w:tcW w:w="802" w:type="dxa"/>
            <w:tcBorders>
              <w:top w:val="nil"/>
              <w:left w:val="nil"/>
              <w:bottom w:val="nil"/>
              <w:right w:val="nil"/>
            </w:tcBorders>
            <w:shd w:val="clear" w:color="auto" w:fill="auto"/>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1.133,8</w:t>
            </w:r>
          </w:p>
        </w:tc>
        <w:tc>
          <w:tcPr>
            <w:tcW w:w="802" w:type="dxa"/>
            <w:tcBorders>
              <w:top w:val="nil"/>
              <w:left w:val="nil"/>
              <w:bottom w:val="nil"/>
              <w:right w:val="nil"/>
            </w:tcBorders>
            <w:shd w:val="clear" w:color="auto" w:fill="auto"/>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1.007,4</w:t>
            </w:r>
          </w:p>
        </w:tc>
        <w:tc>
          <w:tcPr>
            <w:tcW w:w="802" w:type="dxa"/>
            <w:tcBorders>
              <w:top w:val="nil"/>
              <w:left w:val="nil"/>
              <w:bottom w:val="nil"/>
              <w:right w:val="nil"/>
            </w:tcBorders>
            <w:shd w:val="clear" w:color="auto" w:fill="auto"/>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496,4</w:t>
            </w:r>
          </w:p>
        </w:tc>
        <w:tc>
          <w:tcPr>
            <w:tcW w:w="802" w:type="dxa"/>
            <w:tcBorders>
              <w:top w:val="nil"/>
              <w:left w:val="nil"/>
              <w:bottom w:val="nil"/>
              <w:right w:val="nil"/>
            </w:tcBorders>
            <w:shd w:val="clear" w:color="auto" w:fill="auto"/>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511,9</w:t>
            </w:r>
          </w:p>
        </w:tc>
        <w:tc>
          <w:tcPr>
            <w:tcW w:w="779" w:type="dxa"/>
            <w:tcBorders>
              <w:top w:val="nil"/>
              <w:left w:val="nil"/>
              <w:bottom w:val="nil"/>
            </w:tcBorders>
            <w:shd w:val="clear" w:color="auto" w:fill="auto"/>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641,8</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Γενική </w:t>
            </w:r>
            <w:r>
              <w:rPr>
                <w:rFonts w:ascii="Arial Narrow" w:hAnsi="Arial Narrow"/>
                <w:snapToGrid w:val="0"/>
                <w:color w:val="000000"/>
                <w:sz w:val="16"/>
                <w:szCs w:val="16"/>
              </w:rPr>
              <w:t>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1.198,2</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1.040,2</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627,5</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425,2</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302,7</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508,7</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 xml:space="preserve">Λοιποί τομείς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80,2</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93,6</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379,8</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71,2</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209,1</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133,2</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snapToGrid w:val="0"/>
                <w:color w:val="000000"/>
                <w:sz w:val="16"/>
                <w:szCs w:val="16"/>
              </w:rPr>
              <w:t>IΙ.2</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Πληρωμές</w:t>
            </w:r>
            <w:r>
              <w:rPr>
                <w:rFonts w:ascii="Arial Narrow" w:hAnsi="Arial Narrow"/>
                <w:b/>
                <w:snapToGrid w:val="0"/>
                <w:color w:val="000000"/>
                <w:sz w:val="16"/>
                <w:szCs w:val="16"/>
              </w:rPr>
              <w:t xml:space="preserve">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242,7</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219,3</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654,2</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143,0</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345,5</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427,8</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Γ</w:t>
            </w:r>
            <w:r>
              <w:rPr>
                <w:rFonts w:ascii="Arial Narrow" w:hAnsi="Arial Narrow"/>
                <w:snapToGrid w:val="0"/>
                <w:color w:val="000000"/>
                <w:sz w:val="16"/>
                <w:szCs w:val="16"/>
              </w:rPr>
              <w:t>ενική Κ</w:t>
            </w:r>
            <w:r w:rsidRPr="00472EC7">
              <w:rPr>
                <w:rFonts w:ascii="Arial Narrow" w:hAnsi="Arial Narrow"/>
                <w:snapToGrid w:val="0"/>
                <w:color w:val="000000"/>
                <w:sz w:val="16"/>
                <w:szCs w:val="16"/>
              </w:rPr>
              <w:t xml:space="preserve">υβέρνηση </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28,5</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3,0</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4,1</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2,0</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2,1</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3,0</w:t>
            </w:r>
          </w:p>
        </w:tc>
      </w:tr>
      <w:tr w:rsidR="00E36044" w:rsidTr="0075623F">
        <w:trPr>
          <w:cantSplit/>
          <w:trHeight w:val="20"/>
          <w:jc w:val="center"/>
        </w:trPr>
        <w:tc>
          <w:tcPr>
            <w:tcW w:w="4283" w:type="dxa"/>
            <w:tcBorders>
              <w:top w:val="nil"/>
              <w:bottom w:val="nil"/>
              <w:right w:val="nil"/>
            </w:tcBorders>
            <w:shd w:val="clear" w:color="auto" w:fill="FFFFFF"/>
          </w:tcPr>
          <w:p w:rsidR="00E36044" w:rsidRPr="00472EC7" w:rsidRDefault="00E36044"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ab/>
              <w:t>Λοιποί τομείς</w:t>
            </w:r>
          </w:p>
        </w:tc>
        <w:tc>
          <w:tcPr>
            <w:tcW w:w="802" w:type="dxa"/>
            <w:tcBorders>
              <w:top w:val="nil"/>
              <w:left w:val="nil"/>
              <w:bottom w:val="nil"/>
              <w:right w:val="nil"/>
            </w:tcBorders>
            <w:shd w:val="clear" w:color="auto" w:fill="FFFFFF"/>
            <w:vAlign w:val="bottom"/>
          </w:tcPr>
          <w:p w:rsidR="00E36044" w:rsidRDefault="00E36044" w:rsidP="00160188">
            <w:pPr>
              <w:tabs>
                <w:tab w:val="decimal" w:pos="454"/>
              </w:tabs>
              <w:spacing w:line="160" w:lineRule="exact"/>
              <w:jc w:val="both"/>
              <w:rPr>
                <w:rFonts w:ascii="Arial Narrow" w:hAnsi="Arial Narrow"/>
                <w:sz w:val="16"/>
                <w:szCs w:val="16"/>
              </w:rPr>
            </w:pPr>
            <w:r>
              <w:rPr>
                <w:rFonts w:ascii="Arial Narrow" w:hAnsi="Arial Narrow"/>
                <w:sz w:val="16"/>
                <w:szCs w:val="16"/>
              </w:rPr>
              <w:t>214,2</w:t>
            </w:r>
          </w:p>
        </w:tc>
        <w:tc>
          <w:tcPr>
            <w:tcW w:w="802" w:type="dxa"/>
            <w:tcBorders>
              <w:top w:val="nil"/>
              <w:left w:val="nil"/>
              <w:bottom w:val="nil"/>
              <w:right w:val="nil"/>
            </w:tcBorders>
            <w:shd w:val="clear" w:color="auto" w:fill="FFFFFF"/>
            <w:vAlign w:val="bottom"/>
          </w:tcPr>
          <w:p w:rsidR="00E36044" w:rsidRDefault="00E36044" w:rsidP="00B364B5">
            <w:pPr>
              <w:tabs>
                <w:tab w:val="decimal" w:pos="526"/>
              </w:tabs>
              <w:spacing w:line="160" w:lineRule="exact"/>
              <w:jc w:val="both"/>
              <w:rPr>
                <w:rFonts w:ascii="Arial Narrow" w:hAnsi="Arial Narrow"/>
                <w:sz w:val="16"/>
                <w:szCs w:val="16"/>
              </w:rPr>
            </w:pPr>
            <w:r>
              <w:rPr>
                <w:rFonts w:ascii="Arial Narrow" w:hAnsi="Arial Narrow"/>
                <w:sz w:val="16"/>
                <w:szCs w:val="16"/>
              </w:rPr>
              <w:t>216,3</w:t>
            </w:r>
          </w:p>
        </w:tc>
        <w:tc>
          <w:tcPr>
            <w:tcW w:w="802" w:type="dxa"/>
            <w:tcBorders>
              <w:top w:val="nil"/>
              <w:left w:val="nil"/>
              <w:bottom w:val="nil"/>
              <w:right w:val="nil"/>
            </w:tcBorders>
            <w:shd w:val="clear" w:color="auto" w:fill="FFFFFF"/>
            <w:vAlign w:val="bottom"/>
          </w:tcPr>
          <w:p w:rsidR="00E36044" w:rsidRDefault="00E36044" w:rsidP="00160188">
            <w:pPr>
              <w:tabs>
                <w:tab w:val="decimal" w:pos="504"/>
              </w:tabs>
              <w:spacing w:line="160" w:lineRule="exact"/>
              <w:jc w:val="both"/>
              <w:rPr>
                <w:rFonts w:ascii="Arial Narrow" w:hAnsi="Arial Narrow"/>
                <w:sz w:val="16"/>
                <w:szCs w:val="16"/>
              </w:rPr>
            </w:pPr>
            <w:r>
              <w:rPr>
                <w:rFonts w:ascii="Arial Narrow" w:hAnsi="Arial Narrow"/>
                <w:sz w:val="16"/>
                <w:szCs w:val="16"/>
              </w:rPr>
              <w:t>650,1</w:t>
            </w:r>
          </w:p>
        </w:tc>
        <w:tc>
          <w:tcPr>
            <w:tcW w:w="802" w:type="dxa"/>
            <w:tcBorders>
              <w:top w:val="nil"/>
              <w:left w:val="nil"/>
              <w:bottom w:val="nil"/>
              <w:right w:val="nil"/>
            </w:tcBorders>
            <w:shd w:val="clear" w:color="auto" w:fill="FFFFFF"/>
            <w:vAlign w:val="bottom"/>
          </w:tcPr>
          <w:p w:rsidR="00E36044" w:rsidRDefault="00E36044" w:rsidP="00160188">
            <w:pPr>
              <w:tabs>
                <w:tab w:val="decimal" w:pos="495"/>
              </w:tabs>
              <w:spacing w:line="160" w:lineRule="exact"/>
              <w:jc w:val="both"/>
              <w:rPr>
                <w:rFonts w:ascii="Arial Narrow" w:hAnsi="Arial Narrow"/>
                <w:sz w:val="16"/>
                <w:szCs w:val="16"/>
              </w:rPr>
            </w:pPr>
            <w:r>
              <w:rPr>
                <w:rFonts w:ascii="Arial Narrow" w:hAnsi="Arial Narrow"/>
                <w:sz w:val="16"/>
                <w:szCs w:val="16"/>
              </w:rPr>
              <w:t>141,0</w:t>
            </w:r>
          </w:p>
        </w:tc>
        <w:tc>
          <w:tcPr>
            <w:tcW w:w="802" w:type="dxa"/>
            <w:tcBorders>
              <w:top w:val="nil"/>
              <w:left w:val="nil"/>
              <w:bottom w:val="nil"/>
              <w:right w:val="nil"/>
            </w:tcBorders>
            <w:shd w:val="clear" w:color="auto" w:fill="FFFFFF"/>
            <w:vAlign w:val="bottom"/>
          </w:tcPr>
          <w:p w:rsidR="00E36044" w:rsidRDefault="00E36044" w:rsidP="00160188">
            <w:pPr>
              <w:tabs>
                <w:tab w:val="decimal" w:pos="500"/>
              </w:tabs>
              <w:spacing w:line="160" w:lineRule="exact"/>
              <w:jc w:val="both"/>
              <w:rPr>
                <w:rFonts w:ascii="Arial Narrow" w:hAnsi="Arial Narrow"/>
                <w:sz w:val="16"/>
                <w:szCs w:val="16"/>
              </w:rPr>
            </w:pPr>
            <w:r>
              <w:rPr>
                <w:rFonts w:ascii="Arial Narrow" w:hAnsi="Arial Narrow"/>
                <w:sz w:val="16"/>
                <w:szCs w:val="16"/>
              </w:rPr>
              <w:t>343,4</w:t>
            </w:r>
          </w:p>
        </w:tc>
        <w:tc>
          <w:tcPr>
            <w:tcW w:w="779" w:type="dxa"/>
            <w:tcBorders>
              <w:top w:val="nil"/>
              <w:left w:val="nil"/>
              <w:bottom w:val="nil"/>
            </w:tcBorders>
            <w:shd w:val="clear" w:color="auto" w:fill="FFFFFF"/>
            <w:vAlign w:val="bottom"/>
          </w:tcPr>
          <w:p w:rsidR="00E36044" w:rsidRDefault="00E36044" w:rsidP="00160188">
            <w:pPr>
              <w:tabs>
                <w:tab w:val="decimal" w:pos="458"/>
              </w:tabs>
              <w:spacing w:line="160" w:lineRule="exact"/>
              <w:jc w:val="both"/>
              <w:rPr>
                <w:rFonts w:ascii="Arial Narrow" w:hAnsi="Arial Narrow"/>
                <w:sz w:val="16"/>
                <w:szCs w:val="16"/>
              </w:rPr>
            </w:pPr>
            <w:r>
              <w:rPr>
                <w:rFonts w:ascii="Arial Narrow" w:hAnsi="Arial Narrow"/>
                <w:sz w:val="16"/>
                <w:szCs w:val="16"/>
              </w:rPr>
              <w:t>424,8</w:t>
            </w:r>
          </w:p>
        </w:tc>
      </w:tr>
      <w:tr w:rsidR="00E36044" w:rsidTr="0075623F">
        <w:trPr>
          <w:cantSplit/>
          <w:trHeight w:val="20"/>
          <w:jc w:val="center"/>
        </w:trPr>
        <w:tc>
          <w:tcPr>
            <w:tcW w:w="4283" w:type="dxa"/>
            <w:tcBorders>
              <w:top w:val="nil"/>
              <w:bottom w:val="nil"/>
              <w:right w:val="nil"/>
            </w:tcBorders>
            <w:shd w:val="clear" w:color="auto" w:fill="D9D9D9" w:themeFill="background1" w:themeFillShade="D9"/>
          </w:tcPr>
          <w:p w:rsidR="00E36044" w:rsidRPr="00472EC7" w:rsidRDefault="00E36044" w:rsidP="0075623F">
            <w:pPr>
              <w:tabs>
                <w:tab w:val="left" w:pos="426"/>
              </w:tabs>
              <w:spacing w:line="160" w:lineRule="exact"/>
              <w:ind w:left="426" w:hanging="426"/>
              <w:rPr>
                <w:rFonts w:ascii="Arial Narrow" w:hAnsi="Arial Narrow"/>
                <w:b/>
                <w:i/>
                <w:snapToGrid w:val="0"/>
                <w:color w:val="000000"/>
                <w:sz w:val="16"/>
                <w:szCs w:val="16"/>
              </w:rPr>
            </w:pPr>
            <w:r w:rsidRPr="00472EC7">
              <w:rPr>
                <w:rFonts w:ascii="Arial Narrow" w:hAnsi="Arial Narrow"/>
                <w:b/>
                <w:snapToGrid w:val="0"/>
                <w:color w:val="000000"/>
                <w:sz w:val="16"/>
                <w:szCs w:val="16"/>
              </w:rPr>
              <w:tab/>
              <w:t>Ισοζύγιο τρεχουσών συναλλαγών και κεφαλα</w:t>
            </w:r>
            <w:r>
              <w:rPr>
                <w:rFonts w:ascii="Arial Narrow" w:hAnsi="Arial Narrow"/>
                <w:b/>
                <w:snapToGrid w:val="0"/>
                <w:color w:val="000000"/>
                <w:sz w:val="16"/>
                <w:szCs w:val="16"/>
              </w:rPr>
              <w:t>ίων</w:t>
            </w:r>
            <w:r w:rsidRPr="00472EC7">
              <w:rPr>
                <w:rFonts w:ascii="Arial Narrow" w:hAnsi="Arial Narrow"/>
                <w:b/>
                <w:snapToGrid w:val="0"/>
                <w:color w:val="000000"/>
                <w:sz w:val="16"/>
                <w:szCs w:val="16"/>
              </w:rPr>
              <w:t xml:space="preserve"> (Ι + ΙΙ)</w:t>
            </w:r>
          </w:p>
        </w:tc>
        <w:tc>
          <w:tcPr>
            <w:tcW w:w="802" w:type="dxa"/>
            <w:tcBorders>
              <w:top w:val="nil"/>
              <w:left w:val="nil"/>
              <w:bottom w:val="nil"/>
              <w:right w:val="nil"/>
            </w:tcBorders>
            <w:shd w:val="clear" w:color="auto" w:fill="D9D9D9" w:themeFill="background1" w:themeFillShade="D9"/>
            <w:vAlign w:val="bottom"/>
          </w:tcPr>
          <w:p w:rsidR="00E36044" w:rsidRPr="00E36044" w:rsidRDefault="00E36044" w:rsidP="00160188">
            <w:pPr>
              <w:tabs>
                <w:tab w:val="decimal" w:pos="454"/>
              </w:tabs>
              <w:spacing w:line="160" w:lineRule="exact"/>
              <w:jc w:val="both"/>
              <w:rPr>
                <w:rFonts w:ascii="Arial Narrow" w:hAnsi="Arial Narrow"/>
                <w:b/>
                <w:bCs/>
                <w:iCs/>
                <w:sz w:val="16"/>
                <w:szCs w:val="16"/>
              </w:rPr>
            </w:pPr>
            <w:r w:rsidRPr="00E36044">
              <w:rPr>
                <w:rFonts w:ascii="Arial Narrow" w:hAnsi="Arial Narrow"/>
                <w:b/>
                <w:bCs/>
                <w:iCs/>
                <w:sz w:val="16"/>
                <w:szCs w:val="16"/>
              </w:rPr>
              <w:t>-2.014,3</w:t>
            </w:r>
          </w:p>
        </w:tc>
        <w:tc>
          <w:tcPr>
            <w:tcW w:w="802" w:type="dxa"/>
            <w:tcBorders>
              <w:top w:val="nil"/>
              <w:left w:val="nil"/>
              <w:bottom w:val="nil"/>
              <w:right w:val="nil"/>
            </w:tcBorders>
            <w:shd w:val="clear" w:color="auto" w:fill="D9D9D9" w:themeFill="background1" w:themeFillShade="D9"/>
            <w:vAlign w:val="bottom"/>
          </w:tcPr>
          <w:p w:rsidR="00E36044" w:rsidRPr="00E36044" w:rsidRDefault="00E36044" w:rsidP="00B364B5">
            <w:pPr>
              <w:tabs>
                <w:tab w:val="decimal" w:pos="526"/>
              </w:tabs>
              <w:spacing w:line="160" w:lineRule="exact"/>
              <w:jc w:val="both"/>
              <w:rPr>
                <w:rFonts w:ascii="Arial Narrow" w:hAnsi="Arial Narrow"/>
                <w:b/>
                <w:bCs/>
                <w:iCs/>
                <w:sz w:val="16"/>
                <w:szCs w:val="16"/>
              </w:rPr>
            </w:pPr>
            <w:r w:rsidRPr="00E36044">
              <w:rPr>
                <w:rFonts w:ascii="Arial Narrow" w:hAnsi="Arial Narrow"/>
                <w:b/>
                <w:bCs/>
                <w:iCs/>
                <w:sz w:val="16"/>
                <w:szCs w:val="16"/>
              </w:rPr>
              <w:t>-2.491,7</w:t>
            </w:r>
          </w:p>
        </w:tc>
        <w:tc>
          <w:tcPr>
            <w:tcW w:w="802" w:type="dxa"/>
            <w:tcBorders>
              <w:top w:val="nil"/>
              <w:left w:val="nil"/>
              <w:bottom w:val="nil"/>
              <w:right w:val="nil"/>
            </w:tcBorders>
            <w:shd w:val="clear" w:color="auto" w:fill="D9D9D9" w:themeFill="background1" w:themeFillShade="D9"/>
            <w:vAlign w:val="bottom"/>
          </w:tcPr>
          <w:p w:rsidR="00E36044" w:rsidRPr="00E36044" w:rsidRDefault="00E36044" w:rsidP="00160188">
            <w:pPr>
              <w:tabs>
                <w:tab w:val="decimal" w:pos="504"/>
              </w:tabs>
              <w:spacing w:line="160" w:lineRule="exact"/>
              <w:jc w:val="both"/>
              <w:rPr>
                <w:rFonts w:ascii="Arial Narrow" w:hAnsi="Arial Narrow"/>
                <w:b/>
                <w:bCs/>
                <w:iCs/>
                <w:sz w:val="16"/>
                <w:szCs w:val="16"/>
              </w:rPr>
            </w:pPr>
            <w:r w:rsidRPr="00E36044">
              <w:rPr>
                <w:rFonts w:ascii="Arial Narrow" w:hAnsi="Arial Narrow"/>
                <w:b/>
                <w:bCs/>
                <w:iCs/>
                <w:sz w:val="16"/>
                <w:szCs w:val="16"/>
              </w:rPr>
              <w:t>-4.879,1</w:t>
            </w:r>
          </w:p>
        </w:tc>
        <w:tc>
          <w:tcPr>
            <w:tcW w:w="802" w:type="dxa"/>
            <w:tcBorders>
              <w:top w:val="nil"/>
              <w:left w:val="nil"/>
              <w:bottom w:val="nil"/>
              <w:right w:val="nil"/>
            </w:tcBorders>
            <w:shd w:val="clear" w:color="auto" w:fill="D9D9D9" w:themeFill="background1" w:themeFillShade="D9"/>
            <w:vAlign w:val="bottom"/>
          </w:tcPr>
          <w:p w:rsidR="00E36044" w:rsidRPr="00E36044" w:rsidRDefault="00E36044" w:rsidP="00160188">
            <w:pPr>
              <w:tabs>
                <w:tab w:val="decimal" w:pos="495"/>
              </w:tabs>
              <w:spacing w:line="160" w:lineRule="exact"/>
              <w:jc w:val="both"/>
              <w:rPr>
                <w:rFonts w:ascii="Arial Narrow" w:hAnsi="Arial Narrow"/>
                <w:b/>
                <w:bCs/>
                <w:iCs/>
                <w:sz w:val="16"/>
                <w:szCs w:val="16"/>
              </w:rPr>
            </w:pPr>
            <w:r w:rsidRPr="00E36044">
              <w:rPr>
                <w:rFonts w:ascii="Arial Narrow" w:hAnsi="Arial Narrow"/>
                <w:b/>
                <w:bCs/>
                <w:iCs/>
                <w:sz w:val="16"/>
                <w:szCs w:val="16"/>
              </w:rPr>
              <w:t>396,2</w:t>
            </w:r>
          </w:p>
        </w:tc>
        <w:tc>
          <w:tcPr>
            <w:tcW w:w="802" w:type="dxa"/>
            <w:tcBorders>
              <w:top w:val="nil"/>
              <w:left w:val="nil"/>
              <w:bottom w:val="nil"/>
              <w:right w:val="nil"/>
            </w:tcBorders>
            <w:shd w:val="clear" w:color="auto" w:fill="D9D9D9" w:themeFill="background1" w:themeFillShade="D9"/>
            <w:vAlign w:val="bottom"/>
          </w:tcPr>
          <w:p w:rsidR="00E36044" w:rsidRPr="00E36044" w:rsidRDefault="00E36044" w:rsidP="00160188">
            <w:pPr>
              <w:tabs>
                <w:tab w:val="decimal" w:pos="500"/>
              </w:tabs>
              <w:spacing w:line="160" w:lineRule="exact"/>
              <w:jc w:val="both"/>
              <w:rPr>
                <w:rFonts w:ascii="Arial Narrow" w:hAnsi="Arial Narrow"/>
                <w:b/>
                <w:bCs/>
                <w:iCs/>
                <w:sz w:val="16"/>
                <w:szCs w:val="16"/>
              </w:rPr>
            </w:pPr>
            <w:r w:rsidRPr="00E36044">
              <w:rPr>
                <w:rFonts w:ascii="Arial Narrow" w:hAnsi="Arial Narrow"/>
                <w:b/>
                <w:bCs/>
                <w:iCs/>
                <w:sz w:val="16"/>
                <w:szCs w:val="16"/>
              </w:rPr>
              <w:t>-1.191,0</w:t>
            </w:r>
          </w:p>
        </w:tc>
        <w:tc>
          <w:tcPr>
            <w:tcW w:w="779" w:type="dxa"/>
            <w:tcBorders>
              <w:top w:val="nil"/>
              <w:left w:val="nil"/>
              <w:bottom w:val="nil"/>
            </w:tcBorders>
            <w:shd w:val="clear" w:color="auto" w:fill="D9D9D9" w:themeFill="background1" w:themeFillShade="D9"/>
            <w:vAlign w:val="bottom"/>
          </w:tcPr>
          <w:p w:rsidR="00E36044" w:rsidRPr="00E36044" w:rsidRDefault="00E36044" w:rsidP="00160188">
            <w:pPr>
              <w:tabs>
                <w:tab w:val="decimal" w:pos="458"/>
              </w:tabs>
              <w:spacing w:line="160" w:lineRule="exact"/>
              <w:jc w:val="both"/>
              <w:rPr>
                <w:rFonts w:ascii="Arial Narrow" w:hAnsi="Arial Narrow"/>
                <w:b/>
                <w:bCs/>
                <w:iCs/>
                <w:sz w:val="16"/>
                <w:szCs w:val="16"/>
              </w:rPr>
            </w:pPr>
            <w:r w:rsidRPr="00E36044">
              <w:rPr>
                <w:rFonts w:ascii="Arial Narrow" w:hAnsi="Arial Narrow"/>
                <w:b/>
                <w:bCs/>
                <w:iCs/>
                <w:sz w:val="16"/>
                <w:szCs w:val="16"/>
              </w:rPr>
              <w:t>189,9</w:t>
            </w:r>
          </w:p>
        </w:tc>
      </w:tr>
      <w:tr w:rsidR="00E36044" w:rsidTr="0075623F">
        <w:trPr>
          <w:cantSplit/>
          <w:trHeight w:val="20"/>
          <w:jc w:val="center"/>
        </w:trPr>
        <w:tc>
          <w:tcPr>
            <w:tcW w:w="4283" w:type="dxa"/>
            <w:tcBorders>
              <w:top w:val="nil"/>
              <w:bottom w:val="nil"/>
              <w:right w:val="nil"/>
            </w:tcBorders>
            <w:shd w:val="clear" w:color="auto" w:fill="D9D9D9" w:themeFill="background1" w:themeFillShade="D9"/>
          </w:tcPr>
          <w:p w:rsidR="00E36044" w:rsidRPr="00472EC7" w:rsidRDefault="00E36044" w:rsidP="0075623F">
            <w:pPr>
              <w:tabs>
                <w:tab w:val="left" w:pos="426"/>
              </w:tabs>
              <w:spacing w:line="160" w:lineRule="exact"/>
              <w:rPr>
                <w:rFonts w:ascii="Arial Narrow" w:hAnsi="Arial Narrow"/>
                <w:b/>
                <w:snapToGrid w:val="0"/>
                <w:color w:val="000000"/>
                <w:sz w:val="16"/>
                <w:szCs w:val="16"/>
              </w:rPr>
            </w:pPr>
            <w:r w:rsidRPr="00472EC7">
              <w:rPr>
                <w:rFonts w:ascii="Arial Narrow" w:hAnsi="Arial Narrow"/>
                <w:b/>
                <w:snapToGrid w:val="0"/>
                <w:color w:val="000000"/>
                <w:sz w:val="16"/>
                <w:szCs w:val="16"/>
              </w:rPr>
              <w:t>IΙΙ.</w:t>
            </w:r>
            <w:r w:rsidRPr="00472EC7">
              <w:rPr>
                <w:rFonts w:ascii="Arial Narrow" w:hAnsi="Arial Narrow"/>
                <w:b/>
                <w:snapToGrid w:val="0"/>
                <w:color w:val="000000"/>
                <w:sz w:val="16"/>
                <w:szCs w:val="16"/>
              </w:rPr>
              <w:tab/>
              <w:t>Ισοζύγιο χρηματοοικον</w:t>
            </w:r>
            <w:r>
              <w:rPr>
                <w:rFonts w:ascii="Arial Narrow" w:hAnsi="Arial Narrow"/>
                <w:b/>
                <w:snapToGrid w:val="0"/>
                <w:color w:val="000000"/>
                <w:sz w:val="16"/>
                <w:szCs w:val="16"/>
              </w:rPr>
              <w:t>ομικ</w:t>
            </w:r>
            <w:r w:rsidRPr="00472EC7">
              <w:rPr>
                <w:rFonts w:ascii="Arial Narrow" w:hAnsi="Arial Narrow"/>
                <w:b/>
                <w:snapToGrid w:val="0"/>
                <w:color w:val="000000"/>
                <w:sz w:val="16"/>
                <w:szCs w:val="16"/>
              </w:rPr>
              <w:t>. συν/γών (I</w:t>
            </w:r>
            <w:r>
              <w:rPr>
                <w:rFonts w:ascii="Arial Narrow" w:hAnsi="Arial Narrow"/>
                <w:b/>
                <w:snapToGrid w:val="0"/>
                <w:color w:val="000000"/>
                <w:sz w:val="16"/>
                <w:szCs w:val="16"/>
              </w:rPr>
              <w:t>ΙΙ</w:t>
            </w:r>
            <w:r w:rsidRPr="00472EC7">
              <w:rPr>
                <w:rFonts w:ascii="Arial Narrow" w:hAnsi="Arial Narrow"/>
                <w:b/>
                <w:snapToGrid w:val="0"/>
                <w:color w:val="000000"/>
                <w:sz w:val="16"/>
                <w:szCs w:val="16"/>
              </w:rPr>
              <w:t>.Α+Ι</w:t>
            </w:r>
            <w:r>
              <w:rPr>
                <w:rFonts w:ascii="Arial Narrow" w:hAnsi="Arial Narrow"/>
                <w:b/>
                <w:snapToGrid w:val="0"/>
                <w:color w:val="000000"/>
                <w:sz w:val="16"/>
                <w:szCs w:val="16"/>
              </w:rPr>
              <w:t>ΙΙ.Β+ΙΙΙ.Γ+ΙΙΙ</w:t>
            </w:r>
            <w:r w:rsidRPr="00472EC7">
              <w:rPr>
                <w:rFonts w:ascii="Arial Narrow" w:hAnsi="Arial Narrow"/>
                <w:b/>
                <w:snapToGrid w:val="0"/>
                <w:color w:val="000000"/>
                <w:sz w:val="16"/>
                <w:szCs w:val="16"/>
              </w:rPr>
              <w:t>.Δ)</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-873,6</w:t>
            </w:r>
          </w:p>
        </w:tc>
        <w:tc>
          <w:tcPr>
            <w:tcW w:w="802" w:type="dxa"/>
            <w:tcBorders>
              <w:top w:val="nil"/>
              <w:left w:val="nil"/>
              <w:bottom w:val="nil"/>
              <w:right w:val="nil"/>
            </w:tcBorders>
            <w:shd w:val="clear" w:color="auto" w:fill="D9D9D9" w:themeFill="background1" w:themeFillShade="D9"/>
            <w:vAlign w:val="bottom"/>
          </w:tcPr>
          <w:p w:rsidR="00E36044" w:rsidRDefault="00E36044"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-1.949,1</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-3.923,7</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607,1</w:t>
            </w:r>
          </w:p>
        </w:tc>
        <w:tc>
          <w:tcPr>
            <w:tcW w:w="802" w:type="dxa"/>
            <w:tcBorders>
              <w:top w:val="nil"/>
              <w:left w:val="nil"/>
              <w:bottom w:val="nil"/>
              <w:right w:val="nil"/>
            </w:tcBorders>
            <w:shd w:val="clear" w:color="auto" w:fill="D9D9D9" w:themeFill="background1" w:themeFillShade="D9"/>
            <w:vAlign w:val="bottom"/>
          </w:tcPr>
          <w:p w:rsidR="00E36044" w:rsidRDefault="00E36044"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-1.216,6</w:t>
            </w:r>
          </w:p>
        </w:tc>
        <w:tc>
          <w:tcPr>
            <w:tcW w:w="779" w:type="dxa"/>
            <w:tcBorders>
              <w:top w:val="nil"/>
              <w:left w:val="nil"/>
              <w:bottom w:val="nil"/>
            </w:tcBorders>
            <w:shd w:val="clear" w:color="auto" w:fill="D9D9D9" w:themeFill="background1" w:themeFillShade="D9"/>
            <w:vAlign w:val="bottom"/>
          </w:tcPr>
          <w:p w:rsidR="00E36044" w:rsidRDefault="00E36044"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1.107,0</w:t>
            </w:r>
          </w:p>
        </w:tc>
      </w:tr>
      <w:tr w:rsidR="005077DB" w:rsidTr="0075623F">
        <w:trPr>
          <w:cantSplit/>
          <w:trHeight w:val="20"/>
          <w:jc w:val="center"/>
        </w:trPr>
        <w:tc>
          <w:tcPr>
            <w:tcW w:w="4283" w:type="dxa"/>
            <w:tcBorders>
              <w:top w:val="nil"/>
              <w:bottom w:val="nil"/>
              <w:right w:val="nil"/>
            </w:tcBorders>
            <w:shd w:val="clear" w:color="auto" w:fill="auto"/>
          </w:tcPr>
          <w:p w:rsidR="005077DB" w:rsidRPr="00472EC7" w:rsidRDefault="005077DB" w:rsidP="0075623F">
            <w:pPr>
              <w:tabs>
                <w:tab w:val="left" w:pos="426"/>
              </w:tabs>
              <w:spacing w:line="160" w:lineRule="exact"/>
              <w:rPr>
                <w:rFonts w:ascii="Arial Narrow" w:hAnsi="Arial Narrow"/>
                <w:b/>
                <w:snapToGrid w:val="0"/>
                <w:color w:val="000000"/>
                <w:sz w:val="16"/>
                <w:szCs w:val="16"/>
              </w:rPr>
            </w:pPr>
            <w:r w:rsidRPr="005F7CB3">
              <w:rPr>
                <w:rFonts w:ascii="Arial Narrow" w:hAnsi="Arial Narrow"/>
                <w:snapToGrid w:val="0"/>
                <w:color w:val="000000"/>
                <w:sz w:val="16"/>
                <w:szCs w:val="16"/>
              </w:rPr>
              <w:t>IΙΙ.Α</w:t>
            </w: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r>
            <w:r>
              <w:rPr>
                <w:rFonts w:ascii="Arial Narrow" w:hAnsi="Arial Narrow"/>
                <w:b/>
                <w:snapToGrid w:val="0"/>
                <w:color w:val="000000"/>
                <w:sz w:val="16"/>
                <w:szCs w:val="16"/>
              </w:rPr>
              <w:t>Άμεσες επενδύσεις</w:t>
            </w:r>
            <w:r w:rsidRPr="00472EC7">
              <w:rPr>
                <w:rFonts w:ascii="Arial Narrow" w:hAnsi="Arial Narrow"/>
                <w:b/>
                <w:snapToGrid w:val="0"/>
                <w:color w:val="000000"/>
                <w:sz w:val="16"/>
                <w:szCs w:val="16"/>
              </w:rPr>
              <w:t>*</w:t>
            </w:r>
          </w:p>
        </w:tc>
        <w:tc>
          <w:tcPr>
            <w:tcW w:w="802" w:type="dxa"/>
            <w:tcBorders>
              <w:top w:val="nil"/>
              <w:left w:val="nil"/>
              <w:bottom w:val="nil"/>
              <w:right w:val="nil"/>
            </w:tcBorders>
            <w:shd w:val="clear" w:color="auto" w:fill="auto"/>
            <w:vAlign w:val="bottom"/>
          </w:tcPr>
          <w:p w:rsidR="005077DB" w:rsidRDefault="005077DB"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-4.004,1</w:t>
            </w:r>
          </w:p>
        </w:tc>
        <w:tc>
          <w:tcPr>
            <w:tcW w:w="802" w:type="dxa"/>
            <w:tcBorders>
              <w:top w:val="nil"/>
              <w:left w:val="nil"/>
              <w:bottom w:val="nil"/>
              <w:right w:val="nil"/>
            </w:tcBorders>
            <w:shd w:val="clear" w:color="auto" w:fill="auto"/>
            <w:vAlign w:val="bottom"/>
          </w:tcPr>
          <w:p w:rsidR="005077DB" w:rsidRDefault="005077DB"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-2.935,8</w:t>
            </w:r>
          </w:p>
        </w:tc>
        <w:tc>
          <w:tcPr>
            <w:tcW w:w="802" w:type="dxa"/>
            <w:tcBorders>
              <w:top w:val="nil"/>
              <w:left w:val="nil"/>
              <w:bottom w:val="nil"/>
              <w:right w:val="nil"/>
            </w:tcBorders>
            <w:shd w:val="clear" w:color="auto" w:fill="auto"/>
            <w:vAlign w:val="bottom"/>
          </w:tcPr>
          <w:p w:rsidR="005077DB" w:rsidRDefault="005077DB"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-2.960,7</w:t>
            </w:r>
          </w:p>
        </w:tc>
        <w:tc>
          <w:tcPr>
            <w:tcW w:w="802" w:type="dxa"/>
            <w:tcBorders>
              <w:top w:val="nil"/>
              <w:left w:val="nil"/>
              <w:bottom w:val="nil"/>
              <w:right w:val="nil"/>
            </w:tcBorders>
            <w:shd w:val="clear" w:color="auto" w:fill="auto"/>
            <w:vAlign w:val="bottom"/>
          </w:tcPr>
          <w:p w:rsidR="005077DB" w:rsidRDefault="005077DB"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-2.372,6</w:t>
            </w:r>
          </w:p>
        </w:tc>
        <w:tc>
          <w:tcPr>
            <w:tcW w:w="802" w:type="dxa"/>
            <w:tcBorders>
              <w:top w:val="nil"/>
              <w:left w:val="nil"/>
              <w:bottom w:val="nil"/>
              <w:right w:val="nil"/>
            </w:tcBorders>
            <w:shd w:val="clear" w:color="auto" w:fill="auto"/>
            <w:vAlign w:val="bottom"/>
          </w:tcPr>
          <w:p w:rsidR="005077DB" w:rsidRDefault="005077DB"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-2.296,8</w:t>
            </w:r>
          </w:p>
        </w:tc>
        <w:tc>
          <w:tcPr>
            <w:tcW w:w="779" w:type="dxa"/>
            <w:tcBorders>
              <w:top w:val="nil"/>
              <w:left w:val="nil"/>
              <w:bottom w:val="nil"/>
            </w:tcBorders>
            <w:shd w:val="clear" w:color="auto" w:fill="auto"/>
            <w:vAlign w:val="bottom"/>
          </w:tcPr>
          <w:p w:rsidR="005077DB" w:rsidRDefault="005077DB"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-2.338,8</w:t>
            </w:r>
          </w:p>
        </w:tc>
      </w:tr>
      <w:tr w:rsidR="005077DB" w:rsidTr="0075623F">
        <w:trPr>
          <w:cantSplit/>
          <w:trHeight w:val="20"/>
          <w:jc w:val="center"/>
        </w:trPr>
        <w:tc>
          <w:tcPr>
            <w:tcW w:w="4283" w:type="dxa"/>
            <w:tcBorders>
              <w:top w:val="nil"/>
              <w:bottom w:val="nil"/>
              <w:right w:val="nil"/>
            </w:tcBorders>
            <w:shd w:val="clear" w:color="auto" w:fill="FFFFFF"/>
          </w:tcPr>
          <w:p w:rsidR="005077DB" w:rsidRPr="00472EC7" w:rsidRDefault="005077DB"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r>
            <w:r>
              <w:rPr>
                <w:rFonts w:ascii="Arial Narrow" w:hAnsi="Arial Narrow"/>
                <w:snapToGrid w:val="0"/>
                <w:color w:val="000000"/>
                <w:sz w:val="16"/>
                <w:szCs w:val="16"/>
              </w:rPr>
              <w:t>Απαιτήσεις</w:t>
            </w:r>
          </w:p>
        </w:tc>
        <w:tc>
          <w:tcPr>
            <w:tcW w:w="802" w:type="dxa"/>
            <w:tcBorders>
              <w:top w:val="nil"/>
              <w:left w:val="nil"/>
              <w:bottom w:val="nil"/>
              <w:right w:val="nil"/>
            </w:tcBorders>
            <w:shd w:val="clear" w:color="auto" w:fill="FFFFFF"/>
            <w:vAlign w:val="bottom"/>
          </w:tcPr>
          <w:p w:rsidR="005077DB" w:rsidRDefault="005077DB" w:rsidP="00160188">
            <w:pPr>
              <w:tabs>
                <w:tab w:val="decimal" w:pos="454"/>
              </w:tabs>
              <w:spacing w:line="160" w:lineRule="exact"/>
              <w:jc w:val="both"/>
              <w:rPr>
                <w:rFonts w:ascii="Arial Narrow" w:hAnsi="Arial Narrow"/>
                <w:sz w:val="16"/>
                <w:szCs w:val="16"/>
              </w:rPr>
            </w:pPr>
            <w:r>
              <w:rPr>
                <w:rFonts w:ascii="Arial Narrow" w:hAnsi="Arial Narrow"/>
                <w:sz w:val="16"/>
                <w:szCs w:val="16"/>
              </w:rPr>
              <w:t>-1.551,3</w:t>
            </w:r>
          </w:p>
        </w:tc>
        <w:tc>
          <w:tcPr>
            <w:tcW w:w="802" w:type="dxa"/>
            <w:tcBorders>
              <w:top w:val="nil"/>
              <w:left w:val="nil"/>
              <w:bottom w:val="nil"/>
              <w:right w:val="nil"/>
            </w:tcBorders>
            <w:shd w:val="clear" w:color="auto" w:fill="FFFFFF"/>
            <w:vAlign w:val="bottom"/>
          </w:tcPr>
          <w:p w:rsidR="005077DB" w:rsidRDefault="005077DB" w:rsidP="00B364B5">
            <w:pPr>
              <w:tabs>
                <w:tab w:val="decimal" w:pos="526"/>
              </w:tabs>
              <w:spacing w:line="160" w:lineRule="exact"/>
              <w:jc w:val="both"/>
              <w:rPr>
                <w:rFonts w:ascii="Arial Narrow" w:hAnsi="Arial Narrow"/>
                <w:sz w:val="16"/>
                <w:szCs w:val="16"/>
              </w:rPr>
            </w:pPr>
            <w:r>
              <w:rPr>
                <w:rFonts w:ascii="Arial Narrow" w:hAnsi="Arial Narrow"/>
                <w:sz w:val="16"/>
                <w:szCs w:val="16"/>
              </w:rPr>
              <w:t>143,0</w:t>
            </w:r>
          </w:p>
        </w:tc>
        <w:tc>
          <w:tcPr>
            <w:tcW w:w="802" w:type="dxa"/>
            <w:tcBorders>
              <w:top w:val="nil"/>
              <w:left w:val="nil"/>
              <w:bottom w:val="nil"/>
              <w:right w:val="nil"/>
            </w:tcBorders>
            <w:shd w:val="clear" w:color="auto" w:fill="FFFFFF"/>
            <w:vAlign w:val="bottom"/>
          </w:tcPr>
          <w:p w:rsidR="005077DB" w:rsidRDefault="005077DB" w:rsidP="00160188">
            <w:pPr>
              <w:tabs>
                <w:tab w:val="decimal" w:pos="504"/>
              </w:tabs>
              <w:spacing w:line="160" w:lineRule="exact"/>
              <w:jc w:val="both"/>
              <w:rPr>
                <w:rFonts w:ascii="Arial Narrow" w:hAnsi="Arial Narrow"/>
                <w:sz w:val="16"/>
                <w:szCs w:val="16"/>
              </w:rPr>
            </w:pPr>
            <w:r>
              <w:rPr>
                <w:rFonts w:ascii="Arial Narrow" w:hAnsi="Arial Narrow"/>
                <w:sz w:val="16"/>
                <w:szCs w:val="16"/>
              </w:rPr>
              <w:t>437,8</w:t>
            </w:r>
          </w:p>
        </w:tc>
        <w:tc>
          <w:tcPr>
            <w:tcW w:w="802" w:type="dxa"/>
            <w:tcBorders>
              <w:top w:val="nil"/>
              <w:left w:val="nil"/>
              <w:bottom w:val="nil"/>
              <w:right w:val="nil"/>
            </w:tcBorders>
            <w:shd w:val="clear" w:color="auto" w:fill="FFFFFF"/>
            <w:vAlign w:val="bottom"/>
          </w:tcPr>
          <w:p w:rsidR="005077DB" w:rsidRDefault="005077DB" w:rsidP="00160188">
            <w:pPr>
              <w:tabs>
                <w:tab w:val="decimal" w:pos="495"/>
              </w:tabs>
              <w:spacing w:line="160" w:lineRule="exact"/>
              <w:jc w:val="both"/>
              <w:rPr>
                <w:rFonts w:ascii="Arial Narrow" w:hAnsi="Arial Narrow"/>
                <w:sz w:val="16"/>
                <w:szCs w:val="16"/>
              </w:rPr>
            </w:pPr>
            <w:r>
              <w:rPr>
                <w:rFonts w:ascii="Arial Narrow" w:hAnsi="Arial Narrow"/>
                <w:sz w:val="16"/>
                <w:szCs w:val="16"/>
              </w:rPr>
              <w:t>40,9</w:t>
            </w:r>
          </w:p>
        </w:tc>
        <w:tc>
          <w:tcPr>
            <w:tcW w:w="802" w:type="dxa"/>
            <w:tcBorders>
              <w:top w:val="nil"/>
              <w:left w:val="nil"/>
              <w:bottom w:val="nil"/>
              <w:right w:val="nil"/>
            </w:tcBorders>
            <w:shd w:val="clear" w:color="auto" w:fill="FFFFFF"/>
            <w:vAlign w:val="bottom"/>
          </w:tcPr>
          <w:p w:rsidR="005077DB" w:rsidRDefault="005077DB" w:rsidP="00160188">
            <w:pPr>
              <w:tabs>
                <w:tab w:val="decimal" w:pos="500"/>
              </w:tabs>
              <w:spacing w:line="160" w:lineRule="exact"/>
              <w:jc w:val="both"/>
              <w:rPr>
                <w:rFonts w:ascii="Arial Narrow" w:hAnsi="Arial Narrow"/>
                <w:sz w:val="16"/>
                <w:szCs w:val="16"/>
              </w:rPr>
            </w:pPr>
            <w:r>
              <w:rPr>
                <w:rFonts w:ascii="Arial Narrow" w:hAnsi="Arial Narrow"/>
                <w:sz w:val="16"/>
                <w:szCs w:val="16"/>
              </w:rPr>
              <w:t>281,1</w:t>
            </w:r>
          </w:p>
        </w:tc>
        <w:tc>
          <w:tcPr>
            <w:tcW w:w="779" w:type="dxa"/>
            <w:tcBorders>
              <w:top w:val="nil"/>
              <w:left w:val="nil"/>
              <w:bottom w:val="nil"/>
            </w:tcBorders>
            <w:shd w:val="clear" w:color="auto" w:fill="FFFFFF"/>
            <w:vAlign w:val="bottom"/>
          </w:tcPr>
          <w:p w:rsidR="005077DB" w:rsidRDefault="005077DB" w:rsidP="00160188">
            <w:pPr>
              <w:tabs>
                <w:tab w:val="decimal" w:pos="458"/>
              </w:tabs>
              <w:spacing w:line="160" w:lineRule="exact"/>
              <w:jc w:val="both"/>
              <w:rPr>
                <w:rFonts w:ascii="Arial Narrow" w:hAnsi="Arial Narrow"/>
                <w:sz w:val="16"/>
                <w:szCs w:val="16"/>
              </w:rPr>
            </w:pPr>
            <w:r>
              <w:rPr>
                <w:rFonts w:ascii="Arial Narrow" w:hAnsi="Arial Narrow"/>
                <w:sz w:val="16"/>
                <w:szCs w:val="16"/>
              </w:rPr>
              <w:t>272,7</w:t>
            </w:r>
          </w:p>
        </w:tc>
      </w:tr>
      <w:tr w:rsidR="005077DB" w:rsidTr="0075623F">
        <w:trPr>
          <w:cantSplit/>
          <w:trHeight w:val="20"/>
          <w:jc w:val="center"/>
        </w:trPr>
        <w:tc>
          <w:tcPr>
            <w:tcW w:w="4283" w:type="dxa"/>
            <w:tcBorders>
              <w:top w:val="nil"/>
              <w:bottom w:val="nil"/>
              <w:right w:val="nil"/>
            </w:tcBorders>
            <w:shd w:val="clear" w:color="auto" w:fill="FFFFFF"/>
          </w:tcPr>
          <w:p w:rsidR="005077DB" w:rsidRPr="00472EC7" w:rsidRDefault="005077DB"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ab/>
              <w:t>Υποχρεώσεις</w:t>
            </w:r>
          </w:p>
        </w:tc>
        <w:tc>
          <w:tcPr>
            <w:tcW w:w="802" w:type="dxa"/>
            <w:tcBorders>
              <w:top w:val="nil"/>
              <w:left w:val="nil"/>
              <w:bottom w:val="nil"/>
              <w:right w:val="nil"/>
            </w:tcBorders>
            <w:shd w:val="clear" w:color="auto" w:fill="FFFFFF"/>
            <w:vAlign w:val="bottom"/>
          </w:tcPr>
          <w:p w:rsidR="005077DB" w:rsidRDefault="005077DB" w:rsidP="00160188">
            <w:pPr>
              <w:tabs>
                <w:tab w:val="decimal" w:pos="454"/>
              </w:tabs>
              <w:spacing w:line="160" w:lineRule="exact"/>
              <w:jc w:val="both"/>
              <w:rPr>
                <w:rFonts w:ascii="Arial Narrow" w:hAnsi="Arial Narrow"/>
                <w:sz w:val="16"/>
                <w:szCs w:val="16"/>
              </w:rPr>
            </w:pPr>
            <w:r>
              <w:rPr>
                <w:rFonts w:ascii="Arial Narrow" w:hAnsi="Arial Narrow"/>
                <w:sz w:val="16"/>
                <w:szCs w:val="16"/>
              </w:rPr>
              <w:t>2.452,8</w:t>
            </w:r>
          </w:p>
        </w:tc>
        <w:tc>
          <w:tcPr>
            <w:tcW w:w="802" w:type="dxa"/>
            <w:tcBorders>
              <w:top w:val="nil"/>
              <w:left w:val="nil"/>
              <w:bottom w:val="nil"/>
              <w:right w:val="nil"/>
            </w:tcBorders>
            <w:shd w:val="clear" w:color="auto" w:fill="FFFFFF"/>
            <w:vAlign w:val="bottom"/>
          </w:tcPr>
          <w:p w:rsidR="005077DB" w:rsidRDefault="005077DB" w:rsidP="00B364B5">
            <w:pPr>
              <w:tabs>
                <w:tab w:val="decimal" w:pos="526"/>
              </w:tabs>
              <w:spacing w:line="160" w:lineRule="exact"/>
              <w:jc w:val="both"/>
              <w:rPr>
                <w:rFonts w:ascii="Arial Narrow" w:hAnsi="Arial Narrow"/>
                <w:sz w:val="16"/>
                <w:szCs w:val="16"/>
              </w:rPr>
            </w:pPr>
            <w:r>
              <w:rPr>
                <w:rFonts w:ascii="Arial Narrow" w:hAnsi="Arial Narrow"/>
                <w:sz w:val="16"/>
                <w:szCs w:val="16"/>
              </w:rPr>
              <w:t>3.078,8</w:t>
            </w:r>
          </w:p>
        </w:tc>
        <w:tc>
          <w:tcPr>
            <w:tcW w:w="802" w:type="dxa"/>
            <w:tcBorders>
              <w:top w:val="nil"/>
              <w:left w:val="nil"/>
              <w:bottom w:val="nil"/>
              <w:right w:val="nil"/>
            </w:tcBorders>
            <w:shd w:val="clear" w:color="auto" w:fill="FFFFFF"/>
            <w:vAlign w:val="bottom"/>
          </w:tcPr>
          <w:p w:rsidR="005077DB" w:rsidRDefault="005077DB" w:rsidP="00160188">
            <w:pPr>
              <w:tabs>
                <w:tab w:val="decimal" w:pos="504"/>
              </w:tabs>
              <w:spacing w:line="160" w:lineRule="exact"/>
              <w:jc w:val="both"/>
              <w:rPr>
                <w:rFonts w:ascii="Arial Narrow" w:hAnsi="Arial Narrow"/>
                <w:sz w:val="16"/>
                <w:szCs w:val="16"/>
              </w:rPr>
            </w:pPr>
            <w:r>
              <w:rPr>
                <w:rFonts w:ascii="Arial Narrow" w:hAnsi="Arial Narrow"/>
                <w:sz w:val="16"/>
                <w:szCs w:val="16"/>
              </w:rPr>
              <w:t>3.398,5</w:t>
            </w:r>
          </w:p>
        </w:tc>
        <w:tc>
          <w:tcPr>
            <w:tcW w:w="802" w:type="dxa"/>
            <w:tcBorders>
              <w:top w:val="nil"/>
              <w:left w:val="nil"/>
              <w:bottom w:val="nil"/>
              <w:right w:val="nil"/>
            </w:tcBorders>
            <w:shd w:val="clear" w:color="auto" w:fill="FFFFFF"/>
            <w:vAlign w:val="bottom"/>
          </w:tcPr>
          <w:p w:rsidR="005077DB" w:rsidRDefault="005077DB" w:rsidP="00160188">
            <w:pPr>
              <w:tabs>
                <w:tab w:val="decimal" w:pos="495"/>
              </w:tabs>
              <w:spacing w:line="160" w:lineRule="exact"/>
              <w:jc w:val="both"/>
              <w:rPr>
                <w:rFonts w:ascii="Arial Narrow" w:hAnsi="Arial Narrow"/>
                <w:sz w:val="16"/>
                <w:szCs w:val="16"/>
              </w:rPr>
            </w:pPr>
            <w:r>
              <w:rPr>
                <w:rFonts w:ascii="Arial Narrow" w:hAnsi="Arial Narrow"/>
                <w:sz w:val="16"/>
                <w:szCs w:val="16"/>
              </w:rPr>
              <w:t>2.413,5</w:t>
            </w:r>
          </w:p>
        </w:tc>
        <w:tc>
          <w:tcPr>
            <w:tcW w:w="802" w:type="dxa"/>
            <w:tcBorders>
              <w:top w:val="nil"/>
              <w:left w:val="nil"/>
              <w:bottom w:val="nil"/>
              <w:right w:val="nil"/>
            </w:tcBorders>
            <w:shd w:val="clear" w:color="auto" w:fill="FFFFFF"/>
            <w:vAlign w:val="bottom"/>
          </w:tcPr>
          <w:p w:rsidR="005077DB" w:rsidRDefault="005077DB" w:rsidP="00160188">
            <w:pPr>
              <w:tabs>
                <w:tab w:val="decimal" w:pos="500"/>
              </w:tabs>
              <w:spacing w:line="160" w:lineRule="exact"/>
              <w:jc w:val="both"/>
              <w:rPr>
                <w:rFonts w:ascii="Arial Narrow" w:hAnsi="Arial Narrow"/>
                <w:sz w:val="16"/>
                <w:szCs w:val="16"/>
              </w:rPr>
            </w:pPr>
            <w:r>
              <w:rPr>
                <w:rFonts w:ascii="Arial Narrow" w:hAnsi="Arial Narrow"/>
                <w:sz w:val="16"/>
                <w:szCs w:val="16"/>
              </w:rPr>
              <w:t>2.577,9</w:t>
            </w:r>
          </w:p>
        </w:tc>
        <w:tc>
          <w:tcPr>
            <w:tcW w:w="779" w:type="dxa"/>
            <w:tcBorders>
              <w:top w:val="nil"/>
              <w:left w:val="nil"/>
              <w:bottom w:val="nil"/>
            </w:tcBorders>
            <w:shd w:val="clear" w:color="auto" w:fill="FFFFFF"/>
            <w:vAlign w:val="bottom"/>
          </w:tcPr>
          <w:p w:rsidR="005077DB" w:rsidRDefault="005077DB" w:rsidP="00160188">
            <w:pPr>
              <w:tabs>
                <w:tab w:val="decimal" w:pos="458"/>
              </w:tabs>
              <w:spacing w:line="160" w:lineRule="exact"/>
              <w:jc w:val="both"/>
              <w:rPr>
                <w:rFonts w:ascii="Arial Narrow" w:hAnsi="Arial Narrow"/>
                <w:sz w:val="16"/>
                <w:szCs w:val="16"/>
              </w:rPr>
            </w:pPr>
            <w:r>
              <w:rPr>
                <w:rFonts w:ascii="Arial Narrow" w:hAnsi="Arial Narrow"/>
                <w:sz w:val="16"/>
                <w:szCs w:val="16"/>
              </w:rPr>
              <w:t>2.611,5</w:t>
            </w:r>
          </w:p>
        </w:tc>
      </w:tr>
      <w:tr w:rsidR="005077DB" w:rsidTr="0075623F">
        <w:trPr>
          <w:cantSplit/>
          <w:trHeight w:val="20"/>
          <w:jc w:val="center"/>
        </w:trPr>
        <w:tc>
          <w:tcPr>
            <w:tcW w:w="4283" w:type="dxa"/>
            <w:tcBorders>
              <w:top w:val="nil"/>
              <w:bottom w:val="nil"/>
              <w:right w:val="nil"/>
            </w:tcBorders>
            <w:shd w:val="clear" w:color="auto" w:fill="auto"/>
          </w:tcPr>
          <w:p w:rsidR="005077DB" w:rsidRPr="00472EC7" w:rsidRDefault="005077DB" w:rsidP="0075623F">
            <w:pPr>
              <w:tabs>
                <w:tab w:val="left" w:pos="426"/>
              </w:tabs>
              <w:spacing w:line="160" w:lineRule="exact"/>
              <w:rPr>
                <w:rFonts w:ascii="Arial Narrow" w:hAnsi="Arial Narrow"/>
                <w:b/>
                <w:snapToGrid w:val="0"/>
                <w:color w:val="000000"/>
                <w:sz w:val="16"/>
                <w:szCs w:val="16"/>
              </w:rPr>
            </w:pPr>
            <w:r w:rsidRPr="005F7CB3">
              <w:rPr>
                <w:rFonts w:ascii="Arial Narrow" w:hAnsi="Arial Narrow"/>
                <w:snapToGrid w:val="0"/>
                <w:color w:val="000000"/>
                <w:sz w:val="16"/>
                <w:szCs w:val="16"/>
              </w:rPr>
              <w:t>IΙΙ.Β</w:t>
            </w:r>
            <w:r w:rsidRPr="00472EC7">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Επενδύσεις χαρτοφυλακίου*</w:t>
            </w:r>
          </w:p>
        </w:tc>
        <w:tc>
          <w:tcPr>
            <w:tcW w:w="802" w:type="dxa"/>
            <w:tcBorders>
              <w:top w:val="nil"/>
              <w:left w:val="nil"/>
              <w:bottom w:val="nil"/>
              <w:right w:val="nil"/>
            </w:tcBorders>
            <w:shd w:val="clear" w:color="auto" w:fill="auto"/>
            <w:vAlign w:val="bottom"/>
          </w:tcPr>
          <w:p w:rsidR="005077DB" w:rsidRDefault="005077DB"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9.622,6</w:t>
            </w:r>
          </w:p>
        </w:tc>
        <w:tc>
          <w:tcPr>
            <w:tcW w:w="802" w:type="dxa"/>
            <w:tcBorders>
              <w:top w:val="nil"/>
              <w:left w:val="nil"/>
              <w:bottom w:val="nil"/>
              <w:right w:val="nil"/>
            </w:tcBorders>
            <w:shd w:val="clear" w:color="auto" w:fill="auto"/>
            <w:vAlign w:val="bottom"/>
          </w:tcPr>
          <w:p w:rsidR="005077DB" w:rsidRDefault="005077DB"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-20.117,7</w:t>
            </w:r>
          </w:p>
        </w:tc>
        <w:tc>
          <w:tcPr>
            <w:tcW w:w="802" w:type="dxa"/>
            <w:tcBorders>
              <w:top w:val="nil"/>
              <w:left w:val="nil"/>
              <w:bottom w:val="nil"/>
              <w:right w:val="nil"/>
            </w:tcBorders>
            <w:shd w:val="clear" w:color="auto" w:fill="auto"/>
            <w:vAlign w:val="bottom"/>
          </w:tcPr>
          <w:p w:rsidR="005077DB" w:rsidRDefault="005077DB"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73,8</w:t>
            </w:r>
          </w:p>
        </w:tc>
        <w:tc>
          <w:tcPr>
            <w:tcW w:w="802" w:type="dxa"/>
            <w:tcBorders>
              <w:top w:val="nil"/>
              <w:left w:val="nil"/>
              <w:bottom w:val="nil"/>
              <w:right w:val="nil"/>
            </w:tcBorders>
            <w:shd w:val="clear" w:color="auto" w:fill="auto"/>
            <w:vAlign w:val="bottom"/>
          </w:tcPr>
          <w:p w:rsidR="005077DB" w:rsidRDefault="005077DB"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-6.824,2</w:t>
            </w:r>
          </w:p>
        </w:tc>
        <w:tc>
          <w:tcPr>
            <w:tcW w:w="802" w:type="dxa"/>
            <w:tcBorders>
              <w:top w:val="nil"/>
              <w:left w:val="nil"/>
              <w:bottom w:val="nil"/>
              <w:right w:val="nil"/>
            </w:tcBorders>
            <w:shd w:val="clear" w:color="auto" w:fill="auto"/>
            <w:vAlign w:val="bottom"/>
          </w:tcPr>
          <w:p w:rsidR="005077DB" w:rsidRDefault="005077DB"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-3.780,3</w:t>
            </w:r>
          </w:p>
        </w:tc>
        <w:tc>
          <w:tcPr>
            <w:tcW w:w="779" w:type="dxa"/>
            <w:tcBorders>
              <w:top w:val="nil"/>
              <w:left w:val="nil"/>
              <w:bottom w:val="nil"/>
            </w:tcBorders>
            <w:shd w:val="clear" w:color="auto" w:fill="auto"/>
            <w:vAlign w:val="bottom"/>
          </w:tcPr>
          <w:p w:rsidR="005077DB" w:rsidRDefault="005077DB"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21.241,1</w:t>
            </w:r>
          </w:p>
        </w:tc>
      </w:tr>
      <w:tr w:rsidR="005077DB" w:rsidTr="0075623F">
        <w:trPr>
          <w:cantSplit/>
          <w:trHeight w:val="20"/>
          <w:jc w:val="center"/>
        </w:trPr>
        <w:tc>
          <w:tcPr>
            <w:tcW w:w="4283" w:type="dxa"/>
            <w:tcBorders>
              <w:top w:val="nil"/>
              <w:bottom w:val="nil"/>
              <w:right w:val="nil"/>
            </w:tcBorders>
            <w:shd w:val="clear" w:color="auto" w:fill="FFFFFF"/>
          </w:tcPr>
          <w:p w:rsidR="005077DB" w:rsidRPr="00472EC7" w:rsidRDefault="005077DB"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Απαιτήσεις</w:t>
            </w:r>
          </w:p>
        </w:tc>
        <w:tc>
          <w:tcPr>
            <w:tcW w:w="802" w:type="dxa"/>
            <w:tcBorders>
              <w:top w:val="nil"/>
              <w:left w:val="nil"/>
              <w:bottom w:val="nil"/>
              <w:right w:val="nil"/>
            </w:tcBorders>
            <w:shd w:val="clear" w:color="auto" w:fill="FFFFFF"/>
            <w:vAlign w:val="bottom"/>
          </w:tcPr>
          <w:p w:rsidR="005077DB" w:rsidRDefault="005077DB" w:rsidP="00160188">
            <w:pPr>
              <w:tabs>
                <w:tab w:val="decimal" w:pos="454"/>
              </w:tabs>
              <w:spacing w:line="160" w:lineRule="exact"/>
              <w:jc w:val="both"/>
              <w:rPr>
                <w:rFonts w:ascii="Arial Narrow" w:hAnsi="Arial Narrow"/>
                <w:sz w:val="16"/>
                <w:szCs w:val="16"/>
              </w:rPr>
            </w:pPr>
            <w:r>
              <w:rPr>
                <w:rFonts w:ascii="Arial Narrow" w:hAnsi="Arial Narrow"/>
                <w:sz w:val="16"/>
                <w:szCs w:val="16"/>
              </w:rPr>
              <w:t>7.059,0</w:t>
            </w:r>
          </w:p>
        </w:tc>
        <w:tc>
          <w:tcPr>
            <w:tcW w:w="802" w:type="dxa"/>
            <w:tcBorders>
              <w:top w:val="nil"/>
              <w:left w:val="nil"/>
              <w:bottom w:val="nil"/>
              <w:right w:val="nil"/>
            </w:tcBorders>
            <w:shd w:val="clear" w:color="auto" w:fill="FFFFFF"/>
            <w:vAlign w:val="bottom"/>
          </w:tcPr>
          <w:p w:rsidR="005077DB" w:rsidRDefault="005077DB" w:rsidP="00B364B5">
            <w:pPr>
              <w:tabs>
                <w:tab w:val="decimal" w:pos="526"/>
              </w:tabs>
              <w:spacing w:line="160" w:lineRule="exact"/>
              <w:jc w:val="both"/>
              <w:rPr>
                <w:rFonts w:ascii="Arial Narrow" w:hAnsi="Arial Narrow"/>
                <w:sz w:val="16"/>
                <w:szCs w:val="16"/>
              </w:rPr>
            </w:pPr>
            <w:r>
              <w:rPr>
                <w:rFonts w:ascii="Arial Narrow" w:hAnsi="Arial Narrow"/>
                <w:sz w:val="16"/>
                <w:szCs w:val="16"/>
              </w:rPr>
              <w:t>-19.392,1</w:t>
            </w:r>
          </w:p>
        </w:tc>
        <w:tc>
          <w:tcPr>
            <w:tcW w:w="802" w:type="dxa"/>
            <w:tcBorders>
              <w:top w:val="nil"/>
              <w:left w:val="nil"/>
              <w:bottom w:val="nil"/>
              <w:right w:val="nil"/>
            </w:tcBorders>
            <w:shd w:val="clear" w:color="auto" w:fill="FFFFFF"/>
            <w:vAlign w:val="bottom"/>
          </w:tcPr>
          <w:p w:rsidR="005077DB" w:rsidRDefault="005077DB" w:rsidP="00160188">
            <w:pPr>
              <w:tabs>
                <w:tab w:val="decimal" w:pos="504"/>
              </w:tabs>
              <w:spacing w:line="160" w:lineRule="exact"/>
              <w:jc w:val="both"/>
              <w:rPr>
                <w:rFonts w:ascii="Arial Narrow" w:hAnsi="Arial Narrow"/>
                <w:sz w:val="16"/>
                <w:szCs w:val="16"/>
              </w:rPr>
            </w:pPr>
            <w:r>
              <w:rPr>
                <w:rFonts w:ascii="Arial Narrow" w:hAnsi="Arial Narrow"/>
                <w:sz w:val="16"/>
                <w:szCs w:val="16"/>
              </w:rPr>
              <w:t>1.377,7</w:t>
            </w:r>
          </w:p>
        </w:tc>
        <w:tc>
          <w:tcPr>
            <w:tcW w:w="802" w:type="dxa"/>
            <w:tcBorders>
              <w:top w:val="nil"/>
              <w:left w:val="nil"/>
              <w:bottom w:val="nil"/>
              <w:right w:val="nil"/>
            </w:tcBorders>
            <w:shd w:val="clear" w:color="auto" w:fill="FFFFFF"/>
            <w:vAlign w:val="bottom"/>
          </w:tcPr>
          <w:p w:rsidR="005077DB" w:rsidRDefault="005077DB" w:rsidP="00160188">
            <w:pPr>
              <w:tabs>
                <w:tab w:val="decimal" w:pos="495"/>
              </w:tabs>
              <w:spacing w:line="160" w:lineRule="exact"/>
              <w:jc w:val="both"/>
              <w:rPr>
                <w:rFonts w:ascii="Arial Narrow" w:hAnsi="Arial Narrow"/>
                <w:sz w:val="16"/>
                <w:szCs w:val="16"/>
              </w:rPr>
            </w:pPr>
            <w:r>
              <w:rPr>
                <w:rFonts w:ascii="Arial Narrow" w:hAnsi="Arial Narrow"/>
                <w:sz w:val="16"/>
                <w:szCs w:val="16"/>
              </w:rPr>
              <w:t>-9.418,7</w:t>
            </w:r>
          </w:p>
        </w:tc>
        <w:tc>
          <w:tcPr>
            <w:tcW w:w="802" w:type="dxa"/>
            <w:tcBorders>
              <w:top w:val="nil"/>
              <w:left w:val="nil"/>
              <w:bottom w:val="nil"/>
              <w:right w:val="nil"/>
            </w:tcBorders>
            <w:shd w:val="clear" w:color="auto" w:fill="FFFFFF"/>
            <w:vAlign w:val="bottom"/>
          </w:tcPr>
          <w:p w:rsidR="005077DB" w:rsidRDefault="005077DB" w:rsidP="00160188">
            <w:pPr>
              <w:tabs>
                <w:tab w:val="decimal" w:pos="500"/>
              </w:tabs>
              <w:spacing w:line="160" w:lineRule="exact"/>
              <w:jc w:val="both"/>
              <w:rPr>
                <w:rFonts w:ascii="Arial Narrow" w:hAnsi="Arial Narrow"/>
                <w:sz w:val="16"/>
                <w:szCs w:val="16"/>
              </w:rPr>
            </w:pPr>
            <w:r>
              <w:rPr>
                <w:rFonts w:ascii="Arial Narrow" w:hAnsi="Arial Narrow"/>
                <w:sz w:val="16"/>
                <w:szCs w:val="16"/>
              </w:rPr>
              <w:t>-501,7</w:t>
            </w:r>
          </w:p>
        </w:tc>
        <w:tc>
          <w:tcPr>
            <w:tcW w:w="779" w:type="dxa"/>
            <w:tcBorders>
              <w:top w:val="nil"/>
              <w:left w:val="nil"/>
              <w:bottom w:val="nil"/>
            </w:tcBorders>
            <w:shd w:val="clear" w:color="auto" w:fill="FFFFFF"/>
            <w:vAlign w:val="bottom"/>
          </w:tcPr>
          <w:p w:rsidR="005077DB" w:rsidRDefault="005077DB" w:rsidP="00160188">
            <w:pPr>
              <w:tabs>
                <w:tab w:val="decimal" w:pos="458"/>
              </w:tabs>
              <w:spacing w:line="160" w:lineRule="exact"/>
              <w:jc w:val="both"/>
              <w:rPr>
                <w:rFonts w:ascii="Arial Narrow" w:hAnsi="Arial Narrow"/>
                <w:sz w:val="16"/>
                <w:szCs w:val="16"/>
              </w:rPr>
            </w:pPr>
            <w:r>
              <w:rPr>
                <w:rFonts w:ascii="Arial Narrow" w:hAnsi="Arial Narrow"/>
                <w:sz w:val="16"/>
                <w:szCs w:val="16"/>
              </w:rPr>
              <w:t>24.994,8</w:t>
            </w:r>
          </w:p>
        </w:tc>
      </w:tr>
      <w:tr w:rsidR="005077DB" w:rsidTr="0075623F">
        <w:trPr>
          <w:cantSplit/>
          <w:trHeight w:val="20"/>
          <w:jc w:val="center"/>
        </w:trPr>
        <w:tc>
          <w:tcPr>
            <w:tcW w:w="4283" w:type="dxa"/>
            <w:tcBorders>
              <w:top w:val="nil"/>
              <w:bottom w:val="nil"/>
              <w:right w:val="nil"/>
            </w:tcBorders>
            <w:shd w:val="clear" w:color="auto" w:fill="FFFFFF"/>
          </w:tcPr>
          <w:p w:rsidR="005077DB" w:rsidRPr="00472EC7" w:rsidRDefault="005077DB"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Υποχρεώσεις</w:t>
            </w:r>
          </w:p>
        </w:tc>
        <w:tc>
          <w:tcPr>
            <w:tcW w:w="802" w:type="dxa"/>
            <w:tcBorders>
              <w:top w:val="nil"/>
              <w:left w:val="nil"/>
              <w:bottom w:val="nil"/>
              <w:right w:val="nil"/>
            </w:tcBorders>
            <w:shd w:val="clear" w:color="auto" w:fill="FFFFFF"/>
            <w:vAlign w:val="bottom"/>
          </w:tcPr>
          <w:p w:rsidR="005077DB" w:rsidRDefault="005077DB" w:rsidP="00160188">
            <w:pPr>
              <w:tabs>
                <w:tab w:val="decimal" w:pos="454"/>
              </w:tabs>
              <w:spacing w:line="160" w:lineRule="exact"/>
              <w:jc w:val="both"/>
              <w:rPr>
                <w:rFonts w:ascii="Arial Narrow" w:hAnsi="Arial Narrow"/>
                <w:sz w:val="16"/>
                <w:szCs w:val="16"/>
              </w:rPr>
            </w:pPr>
            <w:r>
              <w:rPr>
                <w:rFonts w:ascii="Arial Narrow" w:hAnsi="Arial Narrow"/>
                <w:sz w:val="16"/>
                <w:szCs w:val="16"/>
              </w:rPr>
              <w:t>-2.563,6</w:t>
            </w:r>
          </w:p>
        </w:tc>
        <w:tc>
          <w:tcPr>
            <w:tcW w:w="802" w:type="dxa"/>
            <w:tcBorders>
              <w:top w:val="nil"/>
              <w:left w:val="nil"/>
              <w:bottom w:val="nil"/>
              <w:right w:val="nil"/>
            </w:tcBorders>
            <w:shd w:val="clear" w:color="auto" w:fill="FFFFFF"/>
            <w:vAlign w:val="bottom"/>
          </w:tcPr>
          <w:p w:rsidR="005077DB" w:rsidRDefault="005077DB" w:rsidP="00B364B5">
            <w:pPr>
              <w:tabs>
                <w:tab w:val="decimal" w:pos="526"/>
              </w:tabs>
              <w:spacing w:line="160" w:lineRule="exact"/>
              <w:jc w:val="both"/>
              <w:rPr>
                <w:rFonts w:ascii="Arial Narrow" w:hAnsi="Arial Narrow"/>
                <w:sz w:val="16"/>
                <w:szCs w:val="16"/>
              </w:rPr>
            </w:pPr>
            <w:r>
              <w:rPr>
                <w:rFonts w:ascii="Arial Narrow" w:hAnsi="Arial Narrow"/>
                <w:sz w:val="16"/>
                <w:szCs w:val="16"/>
              </w:rPr>
              <w:t>725,7</w:t>
            </w:r>
          </w:p>
        </w:tc>
        <w:tc>
          <w:tcPr>
            <w:tcW w:w="802" w:type="dxa"/>
            <w:tcBorders>
              <w:top w:val="nil"/>
              <w:left w:val="nil"/>
              <w:bottom w:val="nil"/>
              <w:right w:val="nil"/>
            </w:tcBorders>
            <w:shd w:val="clear" w:color="auto" w:fill="FFFFFF"/>
            <w:vAlign w:val="bottom"/>
          </w:tcPr>
          <w:p w:rsidR="005077DB" w:rsidRDefault="005077DB" w:rsidP="00160188">
            <w:pPr>
              <w:tabs>
                <w:tab w:val="decimal" w:pos="504"/>
              </w:tabs>
              <w:spacing w:line="160" w:lineRule="exact"/>
              <w:jc w:val="both"/>
              <w:rPr>
                <w:rFonts w:ascii="Arial Narrow" w:hAnsi="Arial Narrow"/>
                <w:sz w:val="16"/>
                <w:szCs w:val="16"/>
              </w:rPr>
            </w:pPr>
            <w:r>
              <w:rPr>
                <w:rFonts w:ascii="Arial Narrow" w:hAnsi="Arial Narrow"/>
                <w:sz w:val="16"/>
                <w:szCs w:val="16"/>
              </w:rPr>
              <w:t>1.303,9</w:t>
            </w:r>
          </w:p>
        </w:tc>
        <w:tc>
          <w:tcPr>
            <w:tcW w:w="802" w:type="dxa"/>
            <w:tcBorders>
              <w:top w:val="nil"/>
              <w:left w:val="nil"/>
              <w:bottom w:val="nil"/>
              <w:right w:val="nil"/>
            </w:tcBorders>
            <w:shd w:val="clear" w:color="auto" w:fill="FFFFFF"/>
            <w:vAlign w:val="bottom"/>
          </w:tcPr>
          <w:p w:rsidR="005077DB" w:rsidRDefault="005077DB" w:rsidP="00160188">
            <w:pPr>
              <w:tabs>
                <w:tab w:val="decimal" w:pos="495"/>
              </w:tabs>
              <w:spacing w:line="160" w:lineRule="exact"/>
              <w:jc w:val="both"/>
              <w:rPr>
                <w:rFonts w:ascii="Arial Narrow" w:hAnsi="Arial Narrow"/>
                <w:sz w:val="16"/>
                <w:szCs w:val="16"/>
              </w:rPr>
            </w:pPr>
            <w:r>
              <w:rPr>
                <w:rFonts w:ascii="Arial Narrow" w:hAnsi="Arial Narrow"/>
                <w:sz w:val="16"/>
                <w:szCs w:val="16"/>
              </w:rPr>
              <w:t>-2.594,6</w:t>
            </w:r>
          </w:p>
        </w:tc>
        <w:tc>
          <w:tcPr>
            <w:tcW w:w="802" w:type="dxa"/>
            <w:tcBorders>
              <w:top w:val="nil"/>
              <w:left w:val="nil"/>
              <w:bottom w:val="nil"/>
              <w:right w:val="nil"/>
            </w:tcBorders>
            <w:shd w:val="clear" w:color="auto" w:fill="FFFFFF"/>
            <w:vAlign w:val="bottom"/>
          </w:tcPr>
          <w:p w:rsidR="005077DB" w:rsidRDefault="005077DB" w:rsidP="00160188">
            <w:pPr>
              <w:tabs>
                <w:tab w:val="decimal" w:pos="500"/>
              </w:tabs>
              <w:spacing w:line="160" w:lineRule="exact"/>
              <w:jc w:val="both"/>
              <w:rPr>
                <w:rFonts w:ascii="Arial Narrow" w:hAnsi="Arial Narrow"/>
                <w:sz w:val="16"/>
                <w:szCs w:val="16"/>
              </w:rPr>
            </w:pPr>
            <w:r>
              <w:rPr>
                <w:rFonts w:ascii="Arial Narrow" w:hAnsi="Arial Narrow"/>
                <w:sz w:val="16"/>
                <w:szCs w:val="16"/>
              </w:rPr>
              <w:t>3.278,6</w:t>
            </w:r>
          </w:p>
        </w:tc>
        <w:tc>
          <w:tcPr>
            <w:tcW w:w="779" w:type="dxa"/>
            <w:tcBorders>
              <w:top w:val="nil"/>
              <w:left w:val="nil"/>
              <w:bottom w:val="nil"/>
            </w:tcBorders>
            <w:shd w:val="clear" w:color="auto" w:fill="FFFFFF"/>
            <w:vAlign w:val="bottom"/>
          </w:tcPr>
          <w:p w:rsidR="005077DB" w:rsidRDefault="005077DB" w:rsidP="00160188">
            <w:pPr>
              <w:tabs>
                <w:tab w:val="decimal" w:pos="458"/>
              </w:tabs>
              <w:spacing w:line="160" w:lineRule="exact"/>
              <w:jc w:val="both"/>
              <w:rPr>
                <w:rFonts w:ascii="Arial Narrow" w:hAnsi="Arial Narrow"/>
                <w:sz w:val="16"/>
                <w:szCs w:val="16"/>
              </w:rPr>
            </w:pPr>
            <w:r>
              <w:rPr>
                <w:rFonts w:ascii="Arial Narrow" w:hAnsi="Arial Narrow"/>
                <w:sz w:val="16"/>
                <w:szCs w:val="16"/>
              </w:rPr>
              <w:t>3.753,6</w:t>
            </w:r>
          </w:p>
        </w:tc>
      </w:tr>
      <w:tr w:rsidR="005077DB" w:rsidTr="0075623F">
        <w:trPr>
          <w:cantSplit/>
          <w:trHeight w:val="20"/>
          <w:jc w:val="center"/>
        </w:trPr>
        <w:tc>
          <w:tcPr>
            <w:tcW w:w="4283" w:type="dxa"/>
            <w:tcBorders>
              <w:top w:val="nil"/>
              <w:bottom w:val="nil"/>
              <w:right w:val="nil"/>
            </w:tcBorders>
            <w:shd w:val="clear" w:color="auto" w:fill="auto"/>
          </w:tcPr>
          <w:p w:rsidR="005077DB" w:rsidRPr="00472EC7" w:rsidRDefault="005077DB" w:rsidP="0075623F">
            <w:pPr>
              <w:tabs>
                <w:tab w:val="left" w:pos="426"/>
              </w:tabs>
              <w:spacing w:line="160" w:lineRule="exact"/>
              <w:rPr>
                <w:rFonts w:ascii="Arial Narrow" w:hAnsi="Arial Narrow"/>
                <w:b/>
                <w:snapToGrid w:val="0"/>
                <w:color w:val="000000"/>
                <w:sz w:val="16"/>
                <w:szCs w:val="16"/>
              </w:rPr>
            </w:pPr>
            <w:r>
              <w:rPr>
                <w:rFonts w:ascii="Arial Narrow" w:hAnsi="Arial Narrow"/>
                <w:snapToGrid w:val="0"/>
                <w:color w:val="000000"/>
                <w:sz w:val="16"/>
                <w:szCs w:val="16"/>
              </w:rPr>
              <w:t>ΙΙΙ</w:t>
            </w:r>
            <w:r w:rsidRPr="00472EC7">
              <w:rPr>
                <w:rFonts w:ascii="Arial Narrow" w:hAnsi="Arial Narrow"/>
                <w:snapToGrid w:val="0"/>
                <w:color w:val="000000"/>
                <w:sz w:val="16"/>
                <w:szCs w:val="16"/>
              </w:rPr>
              <w:t>.Γ</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Λοιπές επενδύσεις*</w:t>
            </w:r>
          </w:p>
        </w:tc>
        <w:tc>
          <w:tcPr>
            <w:tcW w:w="802" w:type="dxa"/>
            <w:tcBorders>
              <w:top w:val="nil"/>
              <w:left w:val="nil"/>
              <w:bottom w:val="nil"/>
              <w:right w:val="nil"/>
            </w:tcBorders>
            <w:shd w:val="clear" w:color="auto" w:fill="auto"/>
            <w:vAlign w:val="bottom"/>
          </w:tcPr>
          <w:p w:rsidR="005077DB" w:rsidRDefault="005077DB"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-7.073,6</w:t>
            </w:r>
          </w:p>
        </w:tc>
        <w:tc>
          <w:tcPr>
            <w:tcW w:w="802" w:type="dxa"/>
            <w:tcBorders>
              <w:top w:val="nil"/>
              <w:left w:val="nil"/>
              <w:bottom w:val="nil"/>
              <w:right w:val="nil"/>
            </w:tcBorders>
            <w:shd w:val="clear" w:color="auto" w:fill="auto"/>
            <w:vAlign w:val="bottom"/>
          </w:tcPr>
          <w:p w:rsidR="005077DB" w:rsidRDefault="005077DB"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20.986,4</w:t>
            </w:r>
          </w:p>
        </w:tc>
        <w:tc>
          <w:tcPr>
            <w:tcW w:w="802" w:type="dxa"/>
            <w:tcBorders>
              <w:top w:val="nil"/>
              <w:left w:val="nil"/>
              <w:bottom w:val="nil"/>
              <w:right w:val="nil"/>
            </w:tcBorders>
            <w:shd w:val="clear" w:color="auto" w:fill="auto"/>
            <w:vAlign w:val="bottom"/>
          </w:tcPr>
          <w:p w:rsidR="005077DB" w:rsidRDefault="005077DB"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-966,8</w:t>
            </w:r>
          </w:p>
        </w:tc>
        <w:tc>
          <w:tcPr>
            <w:tcW w:w="802" w:type="dxa"/>
            <w:tcBorders>
              <w:top w:val="nil"/>
              <w:left w:val="nil"/>
              <w:bottom w:val="nil"/>
              <w:right w:val="nil"/>
            </w:tcBorders>
            <w:shd w:val="clear" w:color="auto" w:fill="auto"/>
            <w:vAlign w:val="bottom"/>
          </w:tcPr>
          <w:p w:rsidR="005077DB" w:rsidRDefault="005077DB"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9.679,9</w:t>
            </w:r>
          </w:p>
        </w:tc>
        <w:tc>
          <w:tcPr>
            <w:tcW w:w="802" w:type="dxa"/>
            <w:tcBorders>
              <w:top w:val="nil"/>
              <w:left w:val="nil"/>
              <w:bottom w:val="nil"/>
              <w:right w:val="nil"/>
            </w:tcBorders>
            <w:shd w:val="clear" w:color="auto" w:fill="auto"/>
            <w:vAlign w:val="bottom"/>
          </w:tcPr>
          <w:p w:rsidR="005077DB" w:rsidRDefault="005077DB"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5.013,5</w:t>
            </w:r>
          </w:p>
        </w:tc>
        <w:tc>
          <w:tcPr>
            <w:tcW w:w="779" w:type="dxa"/>
            <w:tcBorders>
              <w:top w:val="nil"/>
              <w:left w:val="nil"/>
              <w:bottom w:val="nil"/>
            </w:tcBorders>
            <w:shd w:val="clear" w:color="auto" w:fill="auto"/>
            <w:vAlign w:val="bottom"/>
          </w:tcPr>
          <w:p w:rsidR="005077DB" w:rsidRDefault="005077DB"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-17.737,4</w:t>
            </w:r>
          </w:p>
        </w:tc>
      </w:tr>
      <w:tr w:rsidR="005077DB" w:rsidTr="0075623F">
        <w:trPr>
          <w:cantSplit/>
          <w:trHeight w:val="20"/>
          <w:jc w:val="center"/>
        </w:trPr>
        <w:tc>
          <w:tcPr>
            <w:tcW w:w="4283" w:type="dxa"/>
            <w:tcBorders>
              <w:top w:val="nil"/>
              <w:bottom w:val="nil"/>
              <w:right w:val="nil"/>
            </w:tcBorders>
            <w:shd w:val="clear" w:color="auto" w:fill="FFFFFF"/>
          </w:tcPr>
          <w:p w:rsidR="005077DB" w:rsidRPr="00472EC7" w:rsidRDefault="005077DB"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Απαιτήσεις</w:t>
            </w:r>
          </w:p>
        </w:tc>
        <w:tc>
          <w:tcPr>
            <w:tcW w:w="802" w:type="dxa"/>
            <w:tcBorders>
              <w:top w:val="nil"/>
              <w:left w:val="nil"/>
              <w:bottom w:val="nil"/>
              <w:right w:val="nil"/>
            </w:tcBorders>
            <w:shd w:val="clear" w:color="auto" w:fill="FFFFFF"/>
            <w:vAlign w:val="bottom"/>
          </w:tcPr>
          <w:p w:rsidR="005077DB" w:rsidRDefault="005077DB" w:rsidP="00160188">
            <w:pPr>
              <w:tabs>
                <w:tab w:val="decimal" w:pos="454"/>
              </w:tabs>
              <w:spacing w:line="160" w:lineRule="exact"/>
              <w:jc w:val="both"/>
              <w:rPr>
                <w:rFonts w:ascii="Arial Narrow" w:hAnsi="Arial Narrow"/>
                <w:sz w:val="16"/>
                <w:szCs w:val="16"/>
              </w:rPr>
            </w:pPr>
            <w:r>
              <w:rPr>
                <w:rFonts w:ascii="Arial Narrow" w:hAnsi="Arial Narrow"/>
                <w:sz w:val="16"/>
                <w:szCs w:val="16"/>
              </w:rPr>
              <w:t>-15.512,5</w:t>
            </w:r>
          </w:p>
        </w:tc>
        <w:tc>
          <w:tcPr>
            <w:tcW w:w="802" w:type="dxa"/>
            <w:tcBorders>
              <w:top w:val="nil"/>
              <w:left w:val="nil"/>
              <w:bottom w:val="nil"/>
              <w:right w:val="nil"/>
            </w:tcBorders>
            <w:shd w:val="clear" w:color="auto" w:fill="FFFFFF"/>
            <w:vAlign w:val="bottom"/>
          </w:tcPr>
          <w:p w:rsidR="005077DB" w:rsidRDefault="005077DB" w:rsidP="00B364B5">
            <w:pPr>
              <w:tabs>
                <w:tab w:val="decimal" w:pos="526"/>
              </w:tabs>
              <w:spacing w:line="160" w:lineRule="exact"/>
              <w:jc w:val="both"/>
              <w:rPr>
                <w:rFonts w:ascii="Arial Narrow" w:hAnsi="Arial Narrow"/>
                <w:sz w:val="16"/>
                <w:szCs w:val="16"/>
              </w:rPr>
            </w:pPr>
            <w:r>
              <w:rPr>
                <w:rFonts w:ascii="Arial Narrow" w:hAnsi="Arial Narrow"/>
                <w:sz w:val="16"/>
                <w:szCs w:val="16"/>
              </w:rPr>
              <w:t>-11.744,7</w:t>
            </w:r>
          </w:p>
        </w:tc>
        <w:tc>
          <w:tcPr>
            <w:tcW w:w="802" w:type="dxa"/>
            <w:tcBorders>
              <w:top w:val="nil"/>
              <w:left w:val="nil"/>
              <w:bottom w:val="nil"/>
              <w:right w:val="nil"/>
            </w:tcBorders>
            <w:shd w:val="clear" w:color="auto" w:fill="FFFFFF"/>
            <w:vAlign w:val="bottom"/>
          </w:tcPr>
          <w:p w:rsidR="005077DB" w:rsidRDefault="005077DB" w:rsidP="00160188">
            <w:pPr>
              <w:tabs>
                <w:tab w:val="decimal" w:pos="504"/>
              </w:tabs>
              <w:spacing w:line="160" w:lineRule="exact"/>
              <w:jc w:val="both"/>
              <w:rPr>
                <w:rFonts w:ascii="Arial Narrow" w:hAnsi="Arial Narrow"/>
                <w:sz w:val="16"/>
                <w:szCs w:val="16"/>
              </w:rPr>
            </w:pPr>
            <w:r>
              <w:rPr>
                <w:rFonts w:ascii="Arial Narrow" w:hAnsi="Arial Narrow"/>
                <w:sz w:val="16"/>
                <w:szCs w:val="16"/>
              </w:rPr>
              <w:t>-5.801,8</w:t>
            </w:r>
          </w:p>
        </w:tc>
        <w:tc>
          <w:tcPr>
            <w:tcW w:w="802" w:type="dxa"/>
            <w:tcBorders>
              <w:top w:val="nil"/>
              <w:left w:val="nil"/>
              <w:bottom w:val="nil"/>
              <w:right w:val="nil"/>
            </w:tcBorders>
            <w:shd w:val="clear" w:color="auto" w:fill="FFFFFF"/>
            <w:vAlign w:val="bottom"/>
          </w:tcPr>
          <w:p w:rsidR="005077DB" w:rsidRDefault="005077DB" w:rsidP="00160188">
            <w:pPr>
              <w:tabs>
                <w:tab w:val="decimal" w:pos="495"/>
              </w:tabs>
              <w:spacing w:line="160" w:lineRule="exact"/>
              <w:jc w:val="both"/>
              <w:rPr>
                <w:rFonts w:ascii="Arial Narrow" w:hAnsi="Arial Narrow"/>
                <w:sz w:val="16"/>
                <w:szCs w:val="16"/>
              </w:rPr>
            </w:pPr>
            <w:r>
              <w:rPr>
                <w:rFonts w:ascii="Arial Narrow" w:hAnsi="Arial Narrow"/>
                <w:sz w:val="16"/>
                <w:szCs w:val="16"/>
              </w:rPr>
              <w:t>-8.120,8</w:t>
            </w:r>
          </w:p>
        </w:tc>
        <w:tc>
          <w:tcPr>
            <w:tcW w:w="802" w:type="dxa"/>
            <w:tcBorders>
              <w:top w:val="nil"/>
              <w:left w:val="nil"/>
              <w:bottom w:val="nil"/>
              <w:right w:val="nil"/>
            </w:tcBorders>
            <w:shd w:val="clear" w:color="auto" w:fill="FFFFFF"/>
            <w:vAlign w:val="bottom"/>
          </w:tcPr>
          <w:p w:rsidR="005077DB" w:rsidRDefault="005077DB" w:rsidP="00160188">
            <w:pPr>
              <w:tabs>
                <w:tab w:val="decimal" w:pos="500"/>
              </w:tabs>
              <w:spacing w:line="160" w:lineRule="exact"/>
              <w:jc w:val="both"/>
              <w:rPr>
                <w:rFonts w:ascii="Arial Narrow" w:hAnsi="Arial Narrow"/>
                <w:sz w:val="16"/>
                <w:szCs w:val="16"/>
              </w:rPr>
            </w:pPr>
            <w:r>
              <w:rPr>
                <w:rFonts w:ascii="Arial Narrow" w:hAnsi="Arial Narrow"/>
                <w:sz w:val="16"/>
                <w:szCs w:val="16"/>
              </w:rPr>
              <w:t>-4.977,9</w:t>
            </w:r>
          </w:p>
        </w:tc>
        <w:tc>
          <w:tcPr>
            <w:tcW w:w="779" w:type="dxa"/>
            <w:tcBorders>
              <w:top w:val="nil"/>
              <w:left w:val="nil"/>
              <w:bottom w:val="nil"/>
            </w:tcBorders>
            <w:shd w:val="clear" w:color="auto" w:fill="FFFFFF"/>
            <w:vAlign w:val="bottom"/>
          </w:tcPr>
          <w:p w:rsidR="005077DB" w:rsidRDefault="005077DB" w:rsidP="00160188">
            <w:pPr>
              <w:tabs>
                <w:tab w:val="decimal" w:pos="458"/>
              </w:tabs>
              <w:spacing w:line="160" w:lineRule="exact"/>
              <w:jc w:val="both"/>
              <w:rPr>
                <w:rFonts w:ascii="Arial Narrow" w:hAnsi="Arial Narrow"/>
                <w:sz w:val="16"/>
                <w:szCs w:val="16"/>
              </w:rPr>
            </w:pPr>
            <w:r>
              <w:rPr>
                <w:rFonts w:ascii="Arial Narrow" w:hAnsi="Arial Narrow"/>
                <w:sz w:val="16"/>
                <w:szCs w:val="16"/>
              </w:rPr>
              <w:t>135,9</w:t>
            </w:r>
          </w:p>
        </w:tc>
      </w:tr>
      <w:tr w:rsidR="005077DB" w:rsidTr="0075623F">
        <w:trPr>
          <w:cantSplit/>
          <w:trHeight w:val="20"/>
          <w:jc w:val="center"/>
        </w:trPr>
        <w:tc>
          <w:tcPr>
            <w:tcW w:w="4283" w:type="dxa"/>
            <w:tcBorders>
              <w:top w:val="nil"/>
              <w:bottom w:val="nil"/>
              <w:right w:val="nil"/>
            </w:tcBorders>
            <w:shd w:val="clear" w:color="auto" w:fill="FFFFFF"/>
          </w:tcPr>
          <w:p w:rsidR="005077DB" w:rsidRPr="00472EC7" w:rsidRDefault="005077DB" w:rsidP="0075623F">
            <w:pPr>
              <w:tabs>
                <w:tab w:val="left" w:pos="426"/>
              </w:tabs>
              <w:spacing w:line="160" w:lineRule="exact"/>
              <w:rPr>
                <w:rFonts w:ascii="Arial Narrow" w:hAnsi="Arial Narrow"/>
                <w:snapToGrid w:val="0"/>
                <w:color w:val="000000"/>
                <w:sz w:val="16"/>
                <w:szCs w:val="16"/>
              </w:rPr>
            </w:pPr>
            <w:r>
              <w:rPr>
                <w:rFonts w:ascii="Arial Narrow" w:hAnsi="Arial Narrow"/>
                <w:snapToGrid w:val="0"/>
                <w:color w:val="000000"/>
                <w:sz w:val="16"/>
                <w:szCs w:val="16"/>
              </w:rPr>
              <w:t xml:space="preserve"> </w:t>
            </w:r>
            <w:r w:rsidRPr="00472EC7">
              <w:rPr>
                <w:rFonts w:ascii="Arial Narrow" w:hAnsi="Arial Narrow"/>
                <w:snapToGrid w:val="0"/>
                <w:color w:val="000000"/>
                <w:sz w:val="16"/>
                <w:szCs w:val="16"/>
              </w:rPr>
              <w:tab/>
              <w:t>Υποχρεώσεις</w:t>
            </w:r>
          </w:p>
        </w:tc>
        <w:tc>
          <w:tcPr>
            <w:tcW w:w="802" w:type="dxa"/>
            <w:tcBorders>
              <w:top w:val="nil"/>
              <w:left w:val="nil"/>
              <w:bottom w:val="nil"/>
              <w:right w:val="nil"/>
            </w:tcBorders>
            <w:shd w:val="clear" w:color="auto" w:fill="FFFFFF"/>
            <w:vAlign w:val="bottom"/>
          </w:tcPr>
          <w:p w:rsidR="005077DB" w:rsidRDefault="005077DB" w:rsidP="00160188">
            <w:pPr>
              <w:tabs>
                <w:tab w:val="decimal" w:pos="454"/>
              </w:tabs>
              <w:spacing w:line="160" w:lineRule="exact"/>
              <w:jc w:val="both"/>
              <w:rPr>
                <w:rFonts w:ascii="Arial Narrow" w:hAnsi="Arial Narrow"/>
                <w:sz w:val="16"/>
                <w:szCs w:val="16"/>
              </w:rPr>
            </w:pPr>
            <w:r>
              <w:rPr>
                <w:rFonts w:ascii="Arial Narrow" w:hAnsi="Arial Narrow"/>
                <w:sz w:val="16"/>
                <w:szCs w:val="16"/>
              </w:rPr>
              <w:t>-8.438,9</w:t>
            </w:r>
          </w:p>
        </w:tc>
        <w:tc>
          <w:tcPr>
            <w:tcW w:w="802" w:type="dxa"/>
            <w:tcBorders>
              <w:top w:val="nil"/>
              <w:left w:val="nil"/>
              <w:bottom w:val="nil"/>
              <w:right w:val="nil"/>
            </w:tcBorders>
            <w:shd w:val="clear" w:color="auto" w:fill="FFFFFF"/>
            <w:vAlign w:val="bottom"/>
          </w:tcPr>
          <w:p w:rsidR="005077DB" w:rsidRDefault="005077DB" w:rsidP="00B364B5">
            <w:pPr>
              <w:tabs>
                <w:tab w:val="decimal" w:pos="526"/>
              </w:tabs>
              <w:spacing w:line="160" w:lineRule="exact"/>
              <w:jc w:val="both"/>
              <w:rPr>
                <w:rFonts w:ascii="Arial Narrow" w:hAnsi="Arial Narrow"/>
                <w:sz w:val="16"/>
                <w:szCs w:val="16"/>
              </w:rPr>
            </w:pPr>
            <w:r>
              <w:rPr>
                <w:rFonts w:ascii="Arial Narrow" w:hAnsi="Arial Narrow"/>
                <w:sz w:val="16"/>
                <w:szCs w:val="16"/>
              </w:rPr>
              <w:t>-32.731,0</w:t>
            </w:r>
          </w:p>
        </w:tc>
        <w:tc>
          <w:tcPr>
            <w:tcW w:w="802" w:type="dxa"/>
            <w:tcBorders>
              <w:top w:val="nil"/>
              <w:left w:val="nil"/>
              <w:bottom w:val="nil"/>
              <w:right w:val="nil"/>
            </w:tcBorders>
            <w:shd w:val="clear" w:color="auto" w:fill="FFFFFF"/>
            <w:vAlign w:val="bottom"/>
          </w:tcPr>
          <w:p w:rsidR="005077DB" w:rsidRDefault="005077DB" w:rsidP="00160188">
            <w:pPr>
              <w:tabs>
                <w:tab w:val="decimal" w:pos="504"/>
              </w:tabs>
              <w:spacing w:line="160" w:lineRule="exact"/>
              <w:jc w:val="both"/>
              <w:rPr>
                <w:rFonts w:ascii="Arial Narrow" w:hAnsi="Arial Narrow"/>
                <w:sz w:val="16"/>
                <w:szCs w:val="16"/>
              </w:rPr>
            </w:pPr>
            <w:r>
              <w:rPr>
                <w:rFonts w:ascii="Arial Narrow" w:hAnsi="Arial Narrow"/>
                <w:sz w:val="16"/>
                <w:szCs w:val="16"/>
              </w:rPr>
              <w:t>-4.835,0</w:t>
            </w:r>
          </w:p>
        </w:tc>
        <w:tc>
          <w:tcPr>
            <w:tcW w:w="802" w:type="dxa"/>
            <w:tcBorders>
              <w:top w:val="nil"/>
              <w:left w:val="nil"/>
              <w:bottom w:val="nil"/>
              <w:right w:val="nil"/>
            </w:tcBorders>
            <w:shd w:val="clear" w:color="auto" w:fill="FFFFFF"/>
            <w:vAlign w:val="bottom"/>
          </w:tcPr>
          <w:p w:rsidR="005077DB" w:rsidRDefault="005077DB" w:rsidP="00160188">
            <w:pPr>
              <w:tabs>
                <w:tab w:val="decimal" w:pos="495"/>
              </w:tabs>
              <w:spacing w:line="160" w:lineRule="exact"/>
              <w:jc w:val="both"/>
              <w:rPr>
                <w:rFonts w:ascii="Arial Narrow" w:hAnsi="Arial Narrow"/>
                <w:sz w:val="16"/>
                <w:szCs w:val="16"/>
              </w:rPr>
            </w:pPr>
            <w:r>
              <w:rPr>
                <w:rFonts w:ascii="Arial Narrow" w:hAnsi="Arial Narrow"/>
                <w:sz w:val="16"/>
                <w:szCs w:val="16"/>
              </w:rPr>
              <w:t>-17.800,6</w:t>
            </w:r>
          </w:p>
        </w:tc>
        <w:tc>
          <w:tcPr>
            <w:tcW w:w="802" w:type="dxa"/>
            <w:tcBorders>
              <w:top w:val="nil"/>
              <w:left w:val="nil"/>
              <w:bottom w:val="nil"/>
              <w:right w:val="nil"/>
            </w:tcBorders>
            <w:shd w:val="clear" w:color="auto" w:fill="FFFFFF"/>
            <w:vAlign w:val="bottom"/>
          </w:tcPr>
          <w:p w:rsidR="005077DB" w:rsidRDefault="005077DB" w:rsidP="00160188">
            <w:pPr>
              <w:tabs>
                <w:tab w:val="decimal" w:pos="500"/>
              </w:tabs>
              <w:spacing w:line="160" w:lineRule="exact"/>
              <w:jc w:val="both"/>
              <w:rPr>
                <w:rFonts w:ascii="Arial Narrow" w:hAnsi="Arial Narrow"/>
                <w:sz w:val="16"/>
                <w:szCs w:val="16"/>
              </w:rPr>
            </w:pPr>
            <w:r>
              <w:rPr>
                <w:rFonts w:ascii="Arial Narrow" w:hAnsi="Arial Narrow"/>
                <w:sz w:val="16"/>
                <w:szCs w:val="16"/>
              </w:rPr>
              <w:t>-9.991,4</w:t>
            </w:r>
          </w:p>
        </w:tc>
        <w:tc>
          <w:tcPr>
            <w:tcW w:w="779" w:type="dxa"/>
            <w:tcBorders>
              <w:top w:val="nil"/>
              <w:left w:val="nil"/>
              <w:bottom w:val="nil"/>
            </w:tcBorders>
            <w:shd w:val="clear" w:color="auto" w:fill="FFFFFF"/>
            <w:vAlign w:val="bottom"/>
          </w:tcPr>
          <w:p w:rsidR="005077DB" w:rsidRDefault="005077DB" w:rsidP="00160188">
            <w:pPr>
              <w:tabs>
                <w:tab w:val="decimal" w:pos="458"/>
              </w:tabs>
              <w:spacing w:line="160" w:lineRule="exact"/>
              <w:jc w:val="both"/>
              <w:rPr>
                <w:rFonts w:ascii="Arial Narrow" w:hAnsi="Arial Narrow"/>
                <w:sz w:val="16"/>
                <w:szCs w:val="16"/>
              </w:rPr>
            </w:pPr>
            <w:r>
              <w:rPr>
                <w:rFonts w:ascii="Arial Narrow" w:hAnsi="Arial Narrow"/>
                <w:sz w:val="16"/>
                <w:szCs w:val="16"/>
              </w:rPr>
              <w:t>17.873,3</w:t>
            </w:r>
          </w:p>
        </w:tc>
      </w:tr>
      <w:tr w:rsidR="005077DB" w:rsidTr="0075623F">
        <w:trPr>
          <w:cantSplit/>
          <w:trHeight w:val="20"/>
          <w:jc w:val="center"/>
        </w:trPr>
        <w:tc>
          <w:tcPr>
            <w:tcW w:w="4283" w:type="dxa"/>
            <w:tcBorders>
              <w:top w:val="nil"/>
              <w:bottom w:val="nil"/>
              <w:right w:val="nil"/>
            </w:tcBorders>
            <w:shd w:val="clear" w:color="auto" w:fill="FFFFFF"/>
          </w:tcPr>
          <w:p w:rsidR="005077DB" w:rsidRPr="00472EC7" w:rsidRDefault="005077DB" w:rsidP="0075623F">
            <w:pPr>
              <w:tabs>
                <w:tab w:val="left" w:pos="426"/>
              </w:tabs>
              <w:spacing w:line="160" w:lineRule="exact"/>
              <w:rPr>
                <w:rFonts w:ascii="Arial Narrow" w:hAnsi="Arial Narrow"/>
                <w:i/>
                <w:snapToGrid w:val="0"/>
                <w:color w:val="000000"/>
                <w:sz w:val="16"/>
                <w:szCs w:val="16"/>
              </w:rPr>
            </w:pPr>
            <w:r>
              <w:rPr>
                <w:rFonts w:ascii="Arial Narrow" w:hAnsi="Arial Narrow"/>
                <w:i/>
                <w:snapToGrid w:val="0"/>
                <w:color w:val="000000"/>
                <w:sz w:val="16"/>
                <w:szCs w:val="16"/>
              </w:rPr>
              <w:t xml:space="preserve">  </w:t>
            </w:r>
            <w:r w:rsidRPr="00472EC7">
              <w:rPr>
                <w:rFonts w:ascii="Arial Narrow" w:hAnsi="Arial Narrow"/>
                <w:i/>
                <w:snapToGrid w:val="0"/>
                <w:color w:val="000000"/>
                <w:sz w:val="16"/>
                <w:szCs w:val="16"/>
              </w:rPr>
              <w:tab/>
            </w:r>
            <w:r w:rsidRPr="00472EC7">
              <w:rPr>
                <w:rFonts w:ascii="Arial Narrow" w:hAnsi="Arial Narrow"/>
                <w:i/>
                <w:snapToGrid w:val="0"/>
                <w:color w:val="000000"/>
                <w:sz w:val="16"/>
                <w:szCs w:val="16"/>
              </w:rPr>
              <w:tab/>
              <w:t>( Δάνεια γενικής κυβέρνησης )</w:t>
            </w:r>
          </w:p>
        </w:tc>
        <w:tc>
          <w:tcPr>
            <w:tcW w:w="802" w:type="dxa"/>
            <w:tcBorders>
              <w:top w:val="nil"/>
              <w:left w:val="nil"/>
              <w:bottom w:val="nil"/>
              <w:right w:val="nil"/>
            </w:tcBorders>
            <w:shd w:val="clear" w:color="auto" w:fill="FFFFFF"/>
            <w:vAlign w:val="bottom"/>
          </w:tcPr>
          <w:p w:rsidR="005077DB" w:rsidRDefault="005077DB" w:rsidP="00160188">
            <w:pPr>
              <w:tabs>
                <w:tab w:val="decimal" w:pos="454"/>
              </w:tabs>
              <w:spacing w:line="160" w:lineRule="exact"/>
              <w:jc w:val="both"/>
              <w:rPr>
                <w:rFonts w:ascii="Arial Narrow" w:hAnsi="Arial Narrow"/>
                <w:sz w:val="16"/>
                <w:szCs w:val="16"/>
              </w:rPr>
            </w:pPr>
            <w:r>
              <w:rPr>
                <w:rFonts w:ascii="Arial Narrow" w:hAnsi="Arial Narrow"/>
                <w:sz w:val="16"/>
                <w:szCs w:val="16"/>
              </w:rPr>
              <w:t>6.492,9</w:t>
            </w:r>
          </w:p>
        </w:tc>
        <w:tc>
          <w:tcPr>
            <w:tcW w:w="802" w:type="dxa"/>
            <w:tcBorders>
              <w:top w:val="nil"/>
              <w:left w:val="nil"/>
              <w:bottom w:val="nil"/>
              <w:right w:val="nil"/>
            </w:tcBorders>
            <w:shd w:val="clear" w:color="auto" w:fill="FFFFFF"/>
            <w:vAlign w:val="bottom"/>
          </w:tcPr>
          <w:p w:rsidR="005077DB" w:rsidRDefault="005077DB" w:rsidP="00B364B5">
            <w:pPr>
              <w:tabs>
                <w:tab w:val="decimal" w:pos="526"/>
              </w:tabs>
              <w:spacing w:line="160" w:lineRule="exact"/>
              <w:jc w:val="both"/>
              <w:rPr>
                <w:rFonts w:ascii="Arial Narrow" w:hAnsi="Arial Narrow"/>
                <w:sz w:val="16"/>
                <w:szCs w:val="16"/>
              </w:rPr>
            </w:pPr>
            <w:r>
              <w:rPr>
                <w:rFonts w:ascii="Arial Narrow" w:hAnsi="Arial Narrow"/>
                <w:sz w:val="16"/>
                <w:szCs w:val="16"/>
              </w:rPr>
              <w:t>5.693,7</w:t>
            </w:r>
          </w:p>
        </w:tc>
        <w:tc>
          <w:tcPr>
            <w:tcW w:w="802" w:type="dxa"/>
            <w:tcBorders>
              <w:top w:val="nil"/>
              <w:left w:val="nil"/>
              <w:bottom w:val="nil"/>
              <w:right w:val="nil"/>
            </w:tcBorders>
            <w:shd w:val="clear" w:color="auto" w:fill="FFFFFF"/>
            <w:vAlign w:val="bottom"/>
          </w:tcPr>
          <w:p w:rsidR="005077DB" w:rsidRDefault="005077DB" w:rsidP="00160188">
            <w:pPr>
              <w:tabs>
                <w:tab w:val="decimal" w:pos="504"/>
              </w:tabs>
              <w:spacing w:line="160" w:lineRule="exact"/>
              <w:jc w:val="both"/>
              <w:rPr>
                <w:rFonts w:ascii="Arial Narrow" w:hAnsi="Arial Narrow"/>
                <w:sz w:val="16"/>
                <w:szCs w:val="16"/>
              </w:rPr>
            </w:pPr>
            <w:r>
              <w:rPr>
                <w:rFonts w:ascii="Arial Narrow" w:hAnsi="Arial Narrow"/>
                <w:sz w:val="16"/>
                <w:szCs w:val="16"/>
              </w:rPr>
              <w:t>19.555,0</w:t>
            </w:r>
          </w:p>
        </w:tc>
        <w:tc>
          <w:tcPr>
            <w:tcW w:w="802" w:type="dxa"/>
            <w:tcBorders>
              <w:top w:val="nil"/>
              <w:left w:val="nil"/>
              <w:bottom w:val="nil"/>
              <w:right w:val="nil"/>
            </w:tcBorders>
            <w:shd w:val="clear" w:color="auto" w:fill="FFFFFF"/>
            <w:vAlign w:val="bottom"/>
          </w:tcPr>
          <w:p w:rsidR="005077DB" w:rsidRDefault="005077DB" w:rsidP="00160188">
            <w:pPr>
              <w:tabs>
                <w:tab w:val="decimal" w:pos="495"/>
              </w:tabs>
              <w:spacing w:line="160" w:lineRule="exact"/>
              <w:jc w:val="both"/>
              <w:rPr>
                <w:rFonts w:ascii="Arial Narrow" w:hAnsi="Arial Narrow"/>
                <w:sz w:val="16"/>
                <w:szCs w:val="16"/>
              </w:rPr>
            </w:pPr>
            <w:r>
              <w:rPr>
                <w:rFonts w:ascii="Arial Narrow" w:hAnsi="Arial Narrow"/>
                <w:sz w:val="16"/>
                <w:szCs w:val="16"/>
              </w:rPr>
              <w:t>4.426,7</w:t>
            </w:r>
          </w:p>
        </w:tc>
        <w:tc>
          <w:tcPr>
            <w:tcW w:w="802" w:type="dxa"/>
            <w:tcBorders>
              <w:top w:val="nil"/>
              <w:left w:val="nil"/>
              <w:bottom w:val="nil"/>
              <w:right w:val="nil"/>
            </w:tcBorders>
            <w:shd w:val="clear" w:color="auto" w:fill="FFFFFF"/>
            <w:vAlign w:val="bottom"/>
          </w:tcPr>
          <w:p w:rsidR="005077DB" w:rsidRDefault="005077DB" w:rsidP="00160188">
            <w:pPr>
              <w:tabs>
                <w:tab w:val="decimal" w:pos="500"/>
              </w:tabs>
              <w:spacing w:line="160" w:lineRule="exact"/>
              <w:jc w:val="both"/>
              <w:rPr>
                <w:rFonts w:ascii="Arial Narrow" w:hAnsi="Arial Narrow"/>
                <w:sz w:val="16"/>
                <w:szCs w:val="16"/>
              </w:rPr>
            </w:pPr>
            <w:r>
              <w:rPr>
                <w:rFonts w:ascii="Arial Narrow" w:hAnsi="Arial Narrow"/>
                <w:sz w:val="16"/>
                <w:szCs w:val="16"/>
              </w:rPr>
              <w:t>20.001,4</w:t>
            </w:r>
          </w:p>
        </w:tc>
        <w:tc>
          <w:tcPr>
            <w:tcW w:w="779" w:type="dxa"/>
            <w:tcBorders>
              <w:top w:val="nil"/>
              <w:left w:val="nil"/>
              <w:bottom w:val="nil"/>
            </w:tcBorders>
            <w:shd w:val="clear" w:color="auto" w:fill="FFFFFF"/>
            <w:vAlign w:val="bottom"/>
          </w:tcPr>
          <w:p w:rsidR="005077DB" w:rsidRDefault="005077DB" w:rsidP="00160188">
            <w:pPr>
              <w:tabs>
                <w:tab w:val="decimal" w:pos="458"/>
              </w:tabs>
              <w:spacing w:line="160" w:lineRule="exact"/>
              <w:jc w:val="both"/>
              <w:rPr>
                <w:rFonts w:ascii="Arial Narrow" w:hAnsi="Arial Narrow"/>
                <w:sz w:val="16"/>
                <w:szCs w:val="16"/>
              </w:rPr>
            </w:pPr>
            <w:r>
              <w:rPr>
                <w:rFonts w:ascii="Arial Narrow" w:hAnsi="Arial Narrow"/>
                <w:sz w:val="16"/>
                <w:szCs w:val="16"/>
              </w:rPr>
              <w:t>-1.966,0</w:t>
            </w:r>
          </w:p>
        </w:tc>
      </w:tr>
      <w:tr w:rsidR="005077DB" w:rsidTr="0075623F">
        <w:trPr>
          <w:cantSplit/>
          <w:trHeight w:val="20"/>
          <w:jc w:val="center"/>
        </w:trPr>
        <w:tc>
          <w:tcPr>
            <w:tcW w:w="4283" w:type="dxa"/>
            <w:tcBorders>
              <w:top w:val="nil"/>
              <w:bottom w:val="nil"/>
              <w:right w:val="nil"/>
            </w:tcBorders>
            <w:shd w:val="clear" w:color="auto" w:fill="auto"/>
          </w:tcPr>
          <w:p w:rsidR="005077DB" w:rsidRPr="00472EC7" w:rsidRDefault="005077DB" w:rsidP="0075623F">
            <w:pPr>
              <w:tabs>
                <w:tab w:val="left" w:pos="426"/>
              </w:tabs>
              <w:spacing w:line="160" w:lineRule="exact"/>
              <w:rPr>
                <w:rFonts w:ascii="Arial Narrow" w:hAnsi="Arial Narrow"/>
                <w:b/>
                <w:snapToGrid w:val="0"/>
                <w:color w:val="000000"/>
                <w:sz w:val="16"/>
                <w:szCs w:val="16"/>
              </w:rPr>
            </w:pPr>
            <w:r>
              <w:rPr>
                <w:rFonts w:ascii="Arial Narrow" w:hAnsi="Arial Narrow"/>
                <w:snapToGrid w:val="0"/>
                <w:color w:val="000000"/>
                <w:sz w:val="16"/>
                <w:szCs w:val="16"/>
              </w:rPr>
              <w:t>ΙΙΙ</w:t>
            </w:r>
            <w:r w:rsidRPr="00472EC7">
              <w:rPr>
                <w:rFonts w:ascii="Arial Narrow" w:hAnsi="Arial Narrow"/>
                <w:snapToGrid w:val="0"/>
                <w:color w:val="000000"/>
                <w:sz w:val="16"/>
                <w:szCs w:val="16"/>
              </w:rPr>
              <w:t>.Δ</w:t>
            </w:r>
            <w:r w:rsidRPr="00472EC7">
              <w:rPr>
                <w:rFonts w:ascii="Arial Narrow" w:hAnsi="Arial Narrow"/>
                <w:snapToGrid w:val="0"/>
                <w:color w:val="000000"/>
                <w:sz w:val="16"/>
                <w:szCs w:val="16"/>
              </w:rPr>
              <w:tab/>
            </w:r>
            <w:r w:rsidRPr="00472EC7">
              <w:rPr>
                <w:rFonts w:ascii="Arial Narrow" w:hAnsi="Arial Narrow"/>
                <w:b/>
                <w:snapToGrid w:val="0"/>
                <w:color w:val="000000"/>
                <w:sz w:val="16"/>
                <w:szCs w:val="16"/>
              </w:rPr>
              <w:t>Μεταβο</w:t>
            </w:r>
            <w:r>
              <w:rPr>
                <w:rFonts w:ascii="Arial Narrow" w:hAnsi="Arial Narrow"/>
                <w:b/>
                <w:snapToGrid w:val="0"/>
                <w:color w:val="000000"/>
                <w:sz w:val="16"/>
                <w:szCs w:val="16"/>
              </w:rPr>
              <w:t>λή συναλλαγματικών διαθεσίμων**</w:t>
            </w:r>
          </w:p>
        </w:tc>
        <w:tc>
          <w:tcPr>
            <w:tcW w:w="802" w:type="dxa"/>
            <w:tcBorders>
              <w:top w:val="nil"/>
              <w:left w:val="nil"/>
              <w:bottom w:val="nil"/>
              <w:right w:val="nil"/>
            </w:tcBorders>
            <w:shd w:val="clear" w:color="auto" w:fill="auto"/>
            <w:vAlign w:val="bottom"/>
          </w:tcPr>
          <w:p w:rsidR="005077DB" w:rsidRDefault="005077DB"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581,5</w:t>
            </w:r>
          </w:p>
        </w:tc>
        <w:tc>
          <w:tcPr>
            <w:tcW w:w="802" w:type="dxa"/>
            <w:tcBorders>
              <w:top w:val="nil"/>
              <w:left w:val="nil"/>
              <w:bottom w:val="nil"/>
              <w:right w:val="nil"/>
            </w:tcBorders>
            <w:shd w:val="clear" w:color="auto" w:fill="auto"/>
            <w:vAlign w:val="bottom"/>
          </w:tcPr>
          <w:p w:rsidR="005077DB" w:rsidRDefault="005077DB"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118,0</w:t>
            </w:r>
          </w:p>
        </w:tc>
        <w:tc>
          <w:tcPr>
            <w:tcW w:w="802" w:type="dxa"/>
            <w:tcBorders>
              <w:top w:val="nil"/>
              <w:left w:val="nil"/>
              <w:bottom w:val="nil"/>
              <w:right w:val="nil"/>
            </w:tcBorders>
            <w:shd w:val="clear" w:color="auto" w:fill="auto"/>
            <w:vAlign w:val="bottom"/>
          </w:tcPr>
          <w:p w:rsidR="005077DB" w:rsidRDefault="005077DB"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-70,0</w:t>
            </w:r>
          </w:p>
        </w:tc>
        <w:tc>
          <w:tcPr>
            <w:tcW w:w="802" w:type="dxa"/>
            <w:tcBorders>
              <w:top w:val="nil"/>
              <w:left w:val="nil"/>
              <w:bottom w:val="nil"/>
              <w:right w:val="nil"/>
            </w:tcBorders>
            <w:shd w:val="clear" w:color="auto" w:fill="auto"/>
            <w:vAlign w:val="bottom"/>
          </w:tcPr>
          <w:p w:rsidR="005077DB" w:rsidRDefault="005077DB"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124,0</w:t>
            </w:r>
          </w:p>
        </w:tc>
        <w:tc>
          <w:tcPr>
            <w:tcW w:w="802" w:type="dxa"/>
            <w:tcBorders>
              <w:top w:val="nil"/>
              <w:left w:val="nil"/>
              <w:bottom w:val="nil"/>
              <w:right w:val="nil"/>
            </w:tcBorders>
            <w:shd w:val="clear" w:color="auto" w:fill="auto"/>
            <w:vAlign w:val="bottom"/>
          </w:tcPr>
          <w:p w:rsidR="005077DB" w:rsidRDefault="005077DB"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-153,0</w:t>
            </w:r>
          </w:p>
        </w:tc>
        <w:tc>
          <w:tcPr>
            <w:tcW w:w="779" w:type="dxa"/>
            <w:tcBorders>
              <w:top w:val="nil"/>
              <w:left w:val="nil"/>
              <w:bottom w:val="nil"/>
            </w:tcBorders>
            <w:shd w:val="clear" w:color="auto" w:fill="auto"/>
            <w:vAlign w:val="bottom"/>
          </w:tcPr>
          <w:p w:rsidR="005077DB" w:rsidRDefault="005077DB"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-58,0</w:t>
            </w:r>
          </w:p>
        </w:tc>
      </w:tr>
      <w:tr w:rsidR="005077DB" w:rsidTr="0075623F">
        <w:trPr>
          <w:cantSplit/>
          <w:trHeight w:val="20"/>
          <w:jc w:val="center"/>
        </w:trPr>
        <w:tc>
          <w:tcPr>
            <w:tcW w:w="4283" w:type="dxa"/>
            <w:tcBorders>
              <w:top w:val="nil"/>
              <w:bottom w:val="nil"/>
              <w:right w:val="nil"/>
            </w:tcBorders>
            <w:shd w:val="clear" w:color="auto" w:fill="D9D9D9" w:themeFill="background1" w:themeFillShade="D9"/>
            <w:vAlign w:val="center"/>
          </w:tcPr>
          <w:p w:rsidR="005077DB" w:rsidRPr="00472EC7" w:rsidRDefault="005077DB" w:rsidP="0075623F">
            <w:pPr>
              <w:tabs>
                <w:tab w:val="left" w:pos="426"/>
              </w:tabs>
              <w:spacing w:line="160" w:lineRule="exact"/>
              <w:rPr>
                <w:rFonts w:ascii="Arial Narrow" w:hAnsi="Arial Narrow"/>
                <w:b/>
                <w:snapToGrid w:val="0"/>
                <w:color w:val="000000"/>
                <w:sz w:val="16"/>
                <w:szCs w:val="16"/>
              </w:rPr>
            </w:pPr>
            <w:r>
              <w:rPr>
                <w:rFonts w:ascii="Arial Narrow" w:hAnsi="Arial Narrow"/>
                <w:b/>
                <w:snapToGrid w:val="0"/>
                <w:color w:val="000000"/>
                <w:sz w:val="16"/>
                <w:szCs w:val="16"/>
              </w:rPr>
              <w:t>Ι</w:t>
            </w:r>
            <w:r w:rsidRPr="00472EC7">
              <w:rPr>
                <w:rFonts w:ascii="Arial Narrow" w:hAnsi="Arial Narrow"/>
                <w:b/>
                <w:snapToGrid w:val="0"/>
                <w:color w:val="000000"/>
                <w:sz w:val="16"/>
                <w:szCs w:val="16"/>
              </w:rPr>
              <w:t>V.</w:t>
            </w:r>
            <w:r w:rsidRPr="00472EC7">
              <w:rPr>
                <w:rFonts w:ascii="Arial Narrow" w:hAnsi="Arial Narrow"/>
                <w:b/>
                <w:snapToGrid w:val="0"/>
                <w:color w:val="000000"/>
                <w:sz w:val="16"/>
                <w:szCs w:val="16"/>
              </w:rPr>
              <w:tab/>
              <w:t>Τακτοποιητέα στοιχεία</w:t>
            </w:r>
            <w:r>
              <w:rPr>
                <w:rFonts w:ascii="Arial Narrow" w:hAnsi="Arial Narrow"/>
                <w:b/>
                <w:snapToGrid w:val="0"/>
                <w:color w:val="000000"/>
                <w:sz w:val="16"/>
                <w:szCs w:val="16"/>
              </w:rPr>
              <w:t xml:space="preserve"> (Ι+ΙΙ-</w:t>
            </w:r>
            <w:r w:rsidRPr="00472EC7">
              <w:rPr>
                <w:rFonts w:ascii="Arial Narrow" w:hAnsi="Arial Narrow"/>
                <w:b/>
                <w:snapToGrid w:val="0"/>
                <w:color w:val="000000"/>
                <w:sz w:val="16"/>
                <w:szCs w:val="16"/>
              </w:rPr>
              <w:t>Ι</w:t>
            </w:r>
            <w:r>
              <w:rPr>
                <w:rFonts w:ascii="Arial Narrow" w:hAnsi="Arial Narrow"/>
                <w:b/>
                <w:snapToGrid w:val="0"/>
                <w:color w:val="000000"/>
                <w:sz w:val="16"/>
                <w:szCs w:val="16"/>
              </w:rPr>
              <w:t>ΙΙ</w:t>
            </w:r>
            <w:r w:rsidRPr="00472EC7">
              <w:rPr>
                <w:rFonts w:ascii="Arial Narrow" w:hAnsi="Arial Narrow"/>
                <w:b/>
                <w:snapToGrid w:val="0"/>
                <w:color w:val="000000"/>
                <w:sz w:val="16"/>
                <w:szCs w:val="16"/>
              </w:rPr>
              <w:t>+</w:t>
            </w:r>
            <w:r>
              <w:rPr>
                <w:rFonts w:ascii="Arial Narrow" w:hAnsi="Arial Narrow"/>
                <w:b/>
                <w:snapToGrid w:val="0"/>
                <w:color w:val="000000"/>
                <w:sz w:val="16"/>
                <w:szCs w:val="16"/>
              </w:rPr>
              <w:t>Ι</w:t>
            </w:r>
            <w:r w:rsidRPr="00472EC7">
              <w:rPr>
                <w:rFonts w:ascii="Arial Narrow" w:hAnsi="Arial Narrow"/>
                <w:b/>
                <w:snapToGrid w:val="0"/>
                <w:color w:val="000000"/>
                <w:sz w:val="16"/>
                <w:szCs w:val="16"/>
              </w:rPr>
              <w:t>V=0)</w:t>
            </w:r>
          </w:p>
        </w:tc>
        <w:tc>
          <w:tcPr>
            <w:tcW w:w="802" w:type="dxa"/>
            <w:tcBorders>
              <w:top w:val="nil"/>
              <w:left w:val="nil"/>
              <w:bottom w:val="nil"/>
              <w:right w:val="nil"/>
            </w:tcBorders>
            <w:shd w:val="clear" w:color="auto" w:fill="D9D9D9" w:themeFill="background1" w:themeFillShade="D9"/>
            <w:vAlign w:val="bottom"/>
          </w:tcPr>
          <w:p w:rsidR="005077DB" w:rsidRDefault="005077DB" w:rsidP="00160188">
            <w:pPr>
              <w:tabs>
                <w:tab w:val="decimal" w:pos="454"/>
              </w:tabs>
              <w:spacing w:line="160" w:lineRule="exact"/>
              <w:jc w:val="both"/>
              <w:rPr>
                <w:rFonts w:ascii="Arial Narrow" w:hAnsi="Arial Narrow"/>
                <w:b/>
                <w:bCs/>
                <w:sz w:val="16"/>
                <w:szCs w:val="16"/>
              </w:rPr>
            </w:pPr>
            <w:r>
              <w:rPr>
                <w:rFonts w:ascii="Arial Narrow" w:hAnsi="Arial Narrow"/>
                <w:b/>
                <w:bCs/>
                <w:sz w:val="16"/>
                <w:szCs w:val="16"/>
              </w:rPr>
              <w:t>1.140,7</w:t>
            </w:r>
          </w:p>
        </w:tc>
        <w:tc>
          <w:tcPr>
            <w:tcW w:w="802" w:type="dxa"/>
            <w:tcBorders>
              <w:top w:val="nil"/>
              <w:left w:val="nil"/>
              <w:bottom w:val="nil"/>
              <w:right w:val="nil"/>
            </w:tcBorders>
            <w:shd w:val="clear" w:color="auto" w:fill="D9D9D9" w:themeFill="background1" w:themeFillShade="D9"/>
            <w:vAlign w:val="bottom"/>
          </w:tcPr>
          <w:p w:rsidR="005077DB" w:rsidRDefault="005077DB" w:rsidP="00B364B5">
            <w:pPr>
              <w:tabs>
                <w:tab w:val="decimal" w:pos="526"/>
              </w:tabs>
              <w:spacing w:line="160" w:lineRule="exact"/>
              <w:jc w:val="both"/>
              <w:rPr>
                <w:rFonts w:ascii="Arial Narrow" w:hAnsi="Arial Narrow"/>
                <w:b/>
                <w:bCs/>
                <w:sz w:val="16"/>
                <w:szCs w:val="16"/>
              </w:rPr>
            </w:pPr>
            <w:r>
              <w:rPr>
                <w:rFonts w:ascii="Arial Narrow" w:hAnsi="Arial Narrow"/>
                <w:b/>
                <w:bCs/>
                <w:sz w:val="16"/>
                <w:szCs w:val="16"/>
              </w:rPr>
              <w:t>542,5</w:t>
            </w:r>
          </w:p>
        </w:tc>
        <w:tc>
          <w:tcPr>
            <w:tcW w:w="802" w:type="dxa"/>
            <w:tcBorders>
              <w:top w:val="nil"/>
              <w:left w:val="nil"/>
              <w:bottom w:val="nil"/>
              <w:right w:val="nil"/>
            </w:tcBorders>
            <w:shd w:val="clear" w:color="auto" w:fill="D9D9D9" w:themeFill="background1" w:themeFillShade="D9"/>
            <w:vAlign w:val="bottom"/>
          </w:tcPr>
          <w:p w:rsidR="005077DB" w:rsidRDefault="005077DB" w:rsidP="00160188">
            <w:pPr>
              <w:tabs>
                <w:tab w:val="decimal" w:pos="504"/>
              </w:tabs>
              <w:spacing w:line="160" w:lineRule="exact"/>
              <w:jc w:val="both"/>
              <w:rPr>
                <w:rFonts w:ascii="Arial Narrow" w:hAnsi="Arial Narrow"/>
                <w:b/>
                <w:bCs/>
                <w:sz w:val="16"/>
                <w:szCs w:val="16"/>
              </w:rPr>
            </w:pPr>
            <w:r>
              <w:rPr>
                <w:rFonts w:ascii="Arial Narrow" w:hAnsi="Arial Narrow"/>
                <w:b/>
                <w:bCs/>
                <w:sz w:val="16"/>
                <w:szCs w:val="16"/>
              </w:rPr>
              <w:t>955,4</w:t>
            </w:r>
          </w:p>
        </w:tc>
        <w:tc>
          <w:tcPr>
            <w:tcW w:w="802" w:type="dxa"/>
            <w:tcBorders>
              <w:top w:val="nil"/>
              <w:left w:val="nil"/>
              <w:bottom w:val="nil"/>
              <w:right w:val="nil"/>
            </w:tcBorders>
            <w:shd w:val="clear" w:color="auto" w:fill="D9D9D9" w:themeFill="background1" w:themeFillShade="D9"/>
            <w:vAlign w:val="bottom"/>
          </w:tcPr>
          <w:p w:rsidR="005077DB" w:rsidRDefault="005077DB" w:rsidP="00160188">
            <w:pPr>
              <w:tabs>
                <w:tab w:val="decimal" w:pos="495"/>
              </w:tabs>
              <w:spacing w:line="160" w:lineRule="exact"/>
              <w:jc w:val="both"/>
              <w:rPr>
                <w:rFonts w:ascii="Arial Narrow" w:hAnsi="Arial Narrow"/>
                <w:b/>
                <w:bCs/>
                <w:sz w:val="16"/>
                <w:szCs w:val="16"/>
              </w:rPr>
            </w:pPr>
            <w:r>
              <w:rPr>
                <w:rFonts w:ascii="Arial Narrow" w:hAnsi="Arial Narrow"/>
                <w:b/>
                <w:bCs/>
                <w:sz w:val="16"/>
                <w:szCs w:val="16"/>
              </w:rPr>
              <w:t>210,9</w:t>
            </w:r>
          </w:p>
        </w:tc>
        <w:tc>
          <w:tcPr>
            <w:tcW w:w="802" w:type="dxa"/>
            <w:tcBorders>
              <w:top w:val="nil"/>
              <w:left w:val="nil"/>
              <w:bottom w:val="nil"/>
              <w:right w:val="nil"/>
            </w:tcBorders>
            <w:shd w:val="clear" w:color="auto" w:fill="D9D9D9" w:themeFill="background1" w:themeFillShade="D9"/>
            <w:vAlign w:val="bottom"/>
          </w:tcPr>
          <w:p w:rsidR="005077DB" w:rsidRDefault="005077DB" w:rsidP="00160188">
            <w:pPr>
              <w:tabs>
                <w:tab w:val="decimal" w:pos="500"/>
              </w:tabs>
              <w:spacing w:line="160" w:lineRule="exact"/>
              <w:jc w:val="both"/>
              <w:rPr>
                <w:rFonts w:ascii="Arial Narrow" w:hAnsi="Arial Narrow"/>
                <w:b/>
                <w:bCs/>
                <w:sz w:val="16"/>
                <w:szCs w:val="16"/>
              </w:rPr>
            </w:pPr>
            <w:r>
              <w:rPr>
                <w:rFonts w:ascii="Arial Narrow" w:hAnsi="Arial Narrow"/>
                <w:b/>
                <w:bCs/>
                <w:sz w:val="16"/>
                <w:szCs w:val="16"/>
              </w:rPr>
              <w:t>-25,6</w:t>
            </w:r>
          </w:p>
        </w:tc>
        <w:tc>
          <w:tcPr>
            <w:tcW w:w="779" w:type="dxa"/>
            <w:tcBorders>
              <w:top w:val="nil"/>
              <w:left w:val="nil"/>
              <w:bottom w:val="nil"/>
            </w:tcBorders>
            <w:shd w:val="clear" w:color="auto" w:fill="D9D9D9" w:themeFill="background1" w:themeFillShade="D9"/>
            <w:vAlign w:val="bottom"/>
          </w:tcPr>
          <w:p w:rsidR="005077DB" w:rsidRDefault="005077DB" w:rsidP="00160188">
            <w:pPr>
              <w:tabs>
                <w:tab w:val="decimal" w:pos="458"/>
              </w:tabs>
              <w:spacing w:line="160" w:lineRule="exact"/>
              <w:jc w:val="both"/>
              <w:rPr>
                <w:rFonts w:ascii="Arial Narrow" w:hAnsi="Arial Narrow"/>
                <w:b/>
                <w:bCs/>
                <w:sz w:val="16"/>
                <w:szCs w:val="16"/>
              </w:rPr>
            </w:pPr>
            <w:r>
              <w:rPr>
                <w:rFonts w:ascii="Arial Narrow" w:hAnsi="Arial Narrow"/>
                <w:b/>
                <w:bCs/>
                <w:sz w:val="16"/>
                <w:szCs w:val="16"/>
              </w:rPr>
              <w:t>917,0</w:t>
            </w:r>
          </w:p>
        </w:tc>
      </w:tr>
      <w:tr w:rsidR="005077DB" w:rsidTr="0075623F">
        <w:trPr>
          <w:cantSplit/>
          <w:trHeight w:val="20"/>
          <w:jc w:val="center"/>
        </w:trPr>
        <w:tc>
          <w:tcPr>
            <w:tcW w:w="4283" w:type="dxa"/>
            <w:tcBorders>
              <w:top w:val="nil"/>
              <w:bottom w:val="single" w:sz="6" w:space="0" w:color="auto"/>
              <w:right w:val="nil"/>
            </w:tcBorders>
            <w:shd w:val="clear" w:color="auto" w:fill="FFFFFF"/>
            <w:vAlign w:val="center"/>
          </w:tcPr>
          <w:p w:rsidR="005077DB" w:rsidRPr="00472EC7" w:rsidRDefault="005077DB" w:rsidP="0075623F">
            <w:pPr>
              <w:tabs>
                <w:tab w:val="left" w:pos="426"/>
              </w:tabs>
              <w:spacing w:line="160" w:lineRule="exact"/>
              <w:rPr>
                <w:rFonts w:ascii="Arial Narrow" w:hAnsi="Arial Narrow"/>
                <w:snapToGrid w:val="0"/>
                <w:color w:val="000000"/>
                <w:sz w:val="16"/>
                <w:szCs w:val="16"/>
              </w:rPr>
            </w:pPr>
            <w:r w:rsidRPr="00472EC7">
              <w:rPr>
                <w:rFonts w:ascii="Arial Narrow" w:hAnsi="Arial Narrow"/>
                <w:snapToGrid w:val="0"/>
                <w:color w:val="000000"/>
                <w:sz w:val="16"/>
                <w:szCs w:val="16"/>
              </w:rPr>
              <w:t>Ύψο</w:t>
            </w:r>
            <w:r>
              <w:rPr>
                <w:rFonts w:ascii="Arial Narrow" w:hAnsi="Arial Narrow"/>
                <w:snapToGrid w:val="0"/>
                <w:color w:val="000000"/>
                <w:sz w:val="16"/>
                <w:szCs w:val="16"/>
              </w:rPr>
              <w:t xml:space="preserve">ς συναλλαγματικών διαθεσίμων </w:t>
            </w:r>
            <w:r w:rsidRPr="00472EC7">
              <w:rPr>
                <w:rFonts w:ascii="Arial Narrow" w:hAnsi="Arial Narrow"/>
                <w:snapToGrid w:val="0"/>
                <w:color w:val="000000"/>
                <w:sz w:val="16"/>
                <w:szCs w:val="16"/>
              </w:rPr>
              <w:t>**</w:t>
            </w:r>
            <w:r>
              <w:rPr>
                <w:rFonts w:ascii="Arial Narrow" w:hAnsi="Arial Narrow"/>
                <w:snapToGrid w:val="0"/>
                <w:color w:val="000000"/>
                <w:sz w:val="16"/>
                <w:szCs w:val="16"/>
              </w:rPr>
              <w:t>*</w:t>
            </w:r>
          </w:p>
        </w:tc>
        <w:tc>
          <w:tcPr>
            <w:tcW w:w="802" w:type="dxa"/>
            <w:tcBorders>
              <w:top w:val="nil"/>
              <w:left w:val="nil"/>
              <w:bottom w:val="single" w:sz="6" w:space="0" w:color="auto"/>
              <w:right w:val="nil"/>
            </w:tcBorders>
            <w:shd w:val="clear" w:color="auto" w:fill="FFFFFF"/>
            <w:vAlign w:val="bottom"/>
          </w:tcPr>
          <w:p w:rsidR="005077DB" w:rsidRPr="00CF5320" w:rsidRDefault="005077DB" w:rsidP="00160188">
            <w:pPr>
              <w:tabs>
                <w:tab w:val="decimal" w:pos="454"/>
              </w:tabs>
              <w:spacing w:line="160" w:lineRule="exact"/>
              <w:jc w:val="both"/>
              <w:rPr>
                <w:rFonts w:ascii="Arial Narrow" w:hAnsi="Arial Narrow"/>
                <w:bCs/>
                <w:sz w:val="16"/>
                <w:szCs w:val="16"/>
              </w:rPr>
            </w:pPr>
            <w:r w:rsidRPr="00CF5320">
              <w:rPr>
                <w:rFonts w:ascii="Arial Narrow" w:hAnsi="Arial Narrow"/>
                <w:bCs/>
                <w:sz w:val="16"/>
                <w:szCs w:val="16"/>
              </w:rPr>
              <w:t>6.539</w:t>
            </w:r>
          </w:p>
        </w:tc>
        <w:tc>
          <w:tcPr>
            <w:tcW w:w="802" w:type="dxa"/>
            <w:tcBorders>
              <w:top w:val="nil"/>
              <w:left w:val="nil"/>
              <w:bottom w:val="single" w:sz="6" w:space="0" w:color="auto"/>
              <w:right w:val="nil"/>
            </w:tcBorders>
            <w:shd w:val="clear" w:color="auto" w:fill="FFFFFF"/>
            <w:vAlign w:val="bottom"/>
          </w:tcPr>
          <w:p w:rsidR="005077DB" w:rsidRPr="00CF5320" w:rsidRDefault="005077DB" w:rsidP="00B364B5">
            <w:pPr>
              <w:tabs>
                <w:tab w:val="decimal" w:pos="526"/>
              </w:tabs>
              <w:spacing w:line="160" w:lineRule="exact"/>
              <w:jc w:val="both"/>
              <w:rPr>
                <w:rFonts w:ascii="Arial Narrow" w:hAnsi="Arial Narrow"/>
                <w:bCs/>
                <w:sz w:val="16"/>
                <w:szCs w:val="16"/>
              </w:rPr>
            </w:pPr>
            <w:r w:rsidRPr="00CF5320">
              <w:rPr>
                <w:rFonts w:ascii="Arial Narrow" w:hAnsi="Arial Narrow"/>
                <w:bCs/>
                <w:sz w:val="16"/>
                <w:szCs w:val="16"/>
              </w:rPr>
              <w:t>6.509</w:t>
            </w:r>
          </w:p>
        </w:tc>
        <w:tc>
          <w:tcPr>
            <w:tcW w:w="802" w:type="dxa"/>
            <w:tcBorders>
              <w:top w:val="nil"/>
              <w:left w:val="nil"/>
              <w:bottom w:val="single" w:sz="6" w:space="0" w:color="auto"/>
              <w:right w:val="nil"/>
            </w:tcBorders>
            <w:shd w:val="clear" w:color="auto" w:fill="FFFFFF"/>
            <w:vAlign w:val="bottom"/>
          </w:tcPr>
          <w:p w:rsidR="005077DB" w:rsidRPr="00CF5320" w:rsidRDefault="005077DB" w:rsidP="00160188">
            <w:pPr>
              <w:tabs>
                <w:tab w:val="decimal" w:pos="504"/>
              </w:tabs>
              <w:spacing w:line="160" w:lineRule="exact"/>
              <w:jc w:val="both"/>
              <w:rPr>
                <w:rFonts w:ascii="Arial Narrow" w:hAnsi="Arial Narrow"/>
                <w:bCs/>
                <w:sz w:val="16"/>
                <w:szCs w:val="16"/>
              </w:rPr>
            </w:pPr>
            <w:r w:rsidRPr="00CF5320">
              <w:rPr>
                <w:rFonts w:ascii="Arial Narrow" w:hAnsi="Arial Narrow"/>
                <w:bCs/>
                <w:sz w:val="16"/>
                <w:szCs w:val="16"/>
              </w:rPr>
              <w:t>6.625</w:t>
            </w:r>
          </w:p>
        </w:tc>
        <w:tc>
          <w:tcPr>
            <w:tcW w:w="802" w:type="dxa"/>
            <w:tcBorders>
              <w:top w:val="nil"/>
              <w:left w:val="nil"/>
              <w:bottom w:val="single" w:sz="6" w:space="0" w:color="auto"/>
              <w:right w:val="nil"/>
            </w:tcBorders>
            <w:shd w:val="clear" w:color="auto" w:fill="FFFFFF"/>
            <w:vAlign w:val="bottom"/>
          </w:tcPr>
          <w:p w:rsidR="005077DB" w:rsidRPr="00CF5320" w:rsidRDefault="005077DB" w:rsidP="00160188">
            <w:pPr>
              <w:tabs>
                <w:tab w:val="decimal" w:pos="495"/>
              </w:tabs>
              <w:spacing w:line="160" w:lineRule="exact"/>
              <w:jc w:val="both"/>
              <w:rPr>
                <w:rFonts w:ascii="Arial Narrow" w:hAnsi="Arial Narrow"/>
                <w:bCs/>
                <w:sz w:val="16"/>
                <w:szCs w:val="16"/>
              </w:rPr>
            </w:pPr>
            <w:r w:rsidRPr="00CF5320">
              <w:rPr>
                <w:rFonts w:ascii="Arial Narrow" w:hAnsi="Arial Narrow"/>
                <w:bCs/>
                <w:sz w:val="16"/>
                <w:szCs w:val="16"/>
              </w:rPr>
              <w:t>6.563</w:t>
            </w:r>
          </w:p>
        </w:tc>
        <w:tc>
          <w:tcPr>
            <w:tcW w:w="802" w:type="dxa"/>
            <w:tcBorders>
              <w:top w:val="nil"/>
              <w:left w:val="nil"/>
              <w:bottom w:val="single" w:sz="6" w:space="0" w:color="auto"/>
              <w:right w:val="nil"/>
            </w:tcBorders>
            <w:shd w:val="clear" w:color="auto" w:fill="FFFFFF"/>
            <w:vAlign w:val="bottom"/>
          </w:tcPr>
          <w:p w:rsidR="005077DB" w:rsidRPr="00CF5320" w:rsidRDefault="005077DB" w:rsidP="00160188">
            <w:pPr>
              <w:tabs>
                <w:tab w:val="decimal" w:pos="500"/>
              </w:tabs>
              <w:spacing w:line="160" w:lineRule="exact"/>
              <w:jc w:val="both"/>
              <w:rPr>
                <w:rFonts w:ascii="Arial Narrow" w:hAnsi="Arial Narrow"/>
                <w:bCs/>
                <w:sz w:val="16"/>
                <w:szCs w:val="16"/>
              </w:rPr>
            </w:pPr>
            <w:r w:rsidRPr="00CF5320">
              <w:rPr>
                <w:rFonts w:ascii="Arial Narrow" w:hAnsi="Arial Narrow"/>
                <w:bCs/>
                <w:sz w:val="16"/>
                <w:szCs w:val="16"/>
              </w:rPr>
              <w:t>6.169</w:t>
            </w:r>
          </w:p>
        </w:tc>
        <w:tc>
          <w:tcPr>
            <w:tcW w:w="779" w:type="dxa"/>
            <w:tcBorders>
              <w:top w:val="nil"/>
              <w:left w:val="nil"/>
              <w:bottom w:val="single" w:sz="6" w:space="0" w:color="auto"/>
            </w:tcBorders>
            <w:shd w:val="clear" w:color="auto" w:fill="FFFFFF"/>
            <w:vAlign w:val="bottom"/>
          </w:tcPr>
          <w:p w:rsidR="005077DB" w:rsidRPr="00CF5320" w:rsidRDefault="005077DB" w:rsidP="00160188">
            <w:pPr>
              <w:tabs>
                <w:tab w:val="decimal" w:pos="458"/>
              </w:tabs>
              <w:spacing w:line="160" w:lineRule="exact"/>
              <w:jc w:val="both"/>
              <w:rPr>
                <w:rFonts w:ascii="Arial Narrow" w:hAnsi="Arial Narrow"/>
                <w:bCs/>
                <w:sz w:val="16"/>
                <w:szCs w:val="16"/>
              </w:rPr>
            </w:pPr>
            <w:r w:rsidRPr="00CF5320">
              <w:rPr>
                <w:rFonts w:ascii="Arial Narrow" w:hAnsi="Arial Narrow"/>
                <w:bCs/>
                <w:sz w:val="16"/>
                <w:szCs w:val="16"/>
              </w:rPr>
              <w:t>7.537</w:t>
            </w:r>
          </w:p>
        </w:tc>
      </w:tr>
    </w:tbl>
    <w:p w:rsidR="00D37EC4" w:rsidRPr="000C4DCC" w:rsidRDefault="00D37EC4" w:rsidP="00E7180C">
      <w:pPr>
        <w:tabs>
          <w:tab w:val="left" w:pos="142"/>
        </w:tabs>
        <w:spacing w:line="120" w:lineRule="exact"/>
        <w:ind w:left="142" w:hanging="142"/>
        <w:jc w:val="both"/>
        <w:rPr>
          <w:rFonts w:ascii="Arial Narrow" w:hAnsi="Arial Narrow" w:cs="Arial"/>
          <w:sz w:val="14"/>
          <w:szCs w:val="12"/>
        </w:rPr>
      </w:pPr>
      <w:r w:rsidRPr="000C4DCC">
        <w:rPr>
          <w:rFonts w:ascii="Arial Narrow" w:hAnsi="Arial Narrow" w:cs="Arial"/>
          <w:sz w:val="14"/>
          <w:szCs w:val="12"/>
        </w:rPr>
        <w:t>*</w:t>
      </w:r>
      <w:r w:rsidR="00E7180C" w:rsidRPr="000C4DCC">
        <w:rPr>
          <w:rFonts w:ascii="Arial Narrow" w:hAnsi="Arial Narrow" w:cs="Arial"/>
          <w:sz w:val="14"/>
          <w:szCs w:val="12"/>
        </w:rPr>
        <w:tab/>
      </w:r>
      <w:r w:rsidRPr="000C4DCC">
        <w:rPr>
          <w:rFonts w:ascii="Arial Narrow" w:hAnsi="Arial Narrow" w:cs="Arial"/>
          <w:sz w:val="14"/>
          <w:szCs w:val="12"/>
        </w:rPr>
        <w:t xml:space="preserve">(+) αύξηση (-) μείωση. </w:t>
      </w:r>
    </w:p>
    <w:p w:rsidR="00D37EC4" w:rsidRPr="000C4DCC" w:rsidRDefault="00D37EC4" w:rsidP="00E7180C">
      <w:pPr>
        <w:tabs>
          <w:tab w:val="left" w:pos="142"/>
        </w:tabs>
        <w:spacing w:line="120" w:lineRule="exact"/>
        <w:ind w:left="142" w:hanging="142"/>
        <w:jc w:val="both"/>
        <w:rPr>
          <w:rFonts w:ascii="Arial Narrow" w:hAnsi="Arial Narrow" w:cs="Arial"/>
          <w:sz w:val="14"/>
          <w:szCs w:val="12"/>
        </w:rPr>
      </w:pPr>
      <w:r w:rsidRPr="000C4DCC">
        <w:rPr>
          <w:rFonts w:ascii="Arial Narrow" w:hAnsi="Arial Narrow" w:cs="Arial"/>
          <w:sz w:val="14"/>
          <w:szCs w:val="12"/>
        </w:rPr>
        <w:t>** Τα συναλλαγματικά διαθέσιμα, σύμφωνα με τον ορισμό της Ευρωπαϊκής Κεντρικής Τράπεζας, περιλαμβάνουν μόνο το νομισματικό χρυσό, τη "συναλλαγματική θέση" στο Διεθνές Νομισματικό Ταμείο, τα "ειδικά τραβηκτικά δικαιώματα" και τις απαιτήσεις της Τράπεζας της Ελλάδος σε ξένο νόμισμα έναντι κατοίκων χωρών εκτός της ζώνης του ευρώ. Αντίθετα, δεν περιλαμβάνουν τις απαιτήσεις σε ευρώ έναντι κατοίκων χωρών εκτός της ζώνης του ευρώ, τις απαιτήσεις σε συνάλλαγμα και σε ευρώ έναντι κατοίκων χωρών της ζώνης του ευρώ, και τη συμμετοχή της Τράπεζας της Ελλάδος στο κεφάλαιο και στα συναλλαγματικά διαθέσιμα της ΕΚΤ.</w:t>
      </w:r>
    </w:p>
    <w:p w:rsidR="00D37EC4" w:rsidRPr="000C4DCC" w:rsidRDefault="00D37EC4" w:rsidP="00E7180C">
      <w:pPr>
        <w:tabs>
          <w:tab w:val="left" w:pos="142"/>
        </w:tabs>
        <w:spacing w:line="120" w:lineRule="exact"/>
        <w:ind w:left="142" w:hanging="142"/>
        <w:jc w:val="both"/>
        <w:rPr>
          <w:rFonts w:ascii="Arial Narrow" w:hAnsi="Arial Narrow" w:cs="Arial"/>
          <w:sz w:val="20"/>
          <w:szCs w:val="20"/>
        </w:rPr>
      </w:pPr>
      <w:r w:rsidRPr="000C4DCC">
        <w:rPr>
          <w:rFonts w:ascii="Arial Narrow" w:hAnsi="Arial Narrow" w:cs="Arial"/>
          <w:sz w:val="14"/>
          <w:szCs w:val="12"/>
        </w:rPr>
        <w:t>Πηγή: Τράπεζα της Ελλάδος</w:t>
      </w:r>
    </w:p>
    <w:p w:rsidR="00D37EC4" w:rsidRPr="000416F9" w:rsidRDefault="00D37EC4" w:rsidP="00571E40">
      <w:pPr>
        <w:tabs>
          <w:tab w:val="left" w:pos="851"/>
        </w:tabs>
        <w:jc w:val="both"/>
        <w:rPr>
          <w:sz w:val="22"/>
          <w:szCs w:val="22"/>
        </w:rPr>
      </w:pPr>
    </w:p>
    <w:p w:rsidR="00E0182E" w:rsidRPr="007B4997" w:rsidRDefault="00D21DE7" w:rsidP="00D21DE7">
      <w:pPr>
        <w:ind w:left="567" w:hanging="567"/>
        <w:jc w:val="both"/>
        <w:rPr>
          <w:rFonts w:ascii="Arial Narrow" w:hAnsi="Arial Narrow"/>
          <w:b/>
          <w:color w:val="000080"/>
          <w:szCs w:val="22"/>
        </w:rPr>
      </w:pPr>
      <w:r>
        <w:rPr>
          <w:rFonts w:ascii="Arial Narrow" w:hAnsi="Arial Narrow"/>
          <w:b/>
          <w:color w:val="000080"/>
          <w:szCs w:val="22"/>
        </w:rPr>
        <w:lastRenderedPageBreak/>
        <w:t xml:space="preserve">2.4 </w:t>
      </w:r>
      <w:r w:rsidR="00DF3EF8">
        <w:rPr>
          <w:rFonts w:ascii="Arial Narrow" w:hAnsi="Arial Narrow"/>
          <w:b/>
          <w:color w:val="000080"/>
          <w:szCs w:val="22"/>
          <w:lang w:val="en-US"/>
        </w:rPr>
        <w:t xml:space="preserve">  </w:t>
      </w:r>
      <w:r w:rsidR="00DF3EF8">
        <w:rPr>
          <w:rFonts w:ascii="Arial Narrow" w:hAnsi="Arial Narrow"/>
          <w:b/>
          <w:color w:val="000080"/>
          <w:szCs w:val="22"/>
          <w:lang w:val="en-US"/>
        </w:rPr>
        <w:tab/>
      </w:r>
      <w:r w:rsidR="00E0182E" w:rsidRPr="007B4997">
        <w:rPr>
          <w:rFonts w:ascii="Arial Narrow" w:hAnsi="Arial Narrow"/>
          <w:b/>
          <w:color w:val="000080"/>
          <w:szCs w:val="22"/>
        </w:rPr>
        <w:t>Οι προοπτικές το 2020</w:t>
      </w:r>
    </w:p>
    <w:p w:rsidR="00E0182E" w:rsidRPr="00674836" w:rsidRDefault="00E0182E" w:rsidP="00E0182E">
      <w:pPr>
        <w:ind w:right="-144"/>
        <w:jc w:val="both"/>
        <w:rPr>
          <w:sz w:val="20"/>
          <w:szCs w:val="22"/>
        </w:rPr>
      </w:pPr>
    </w:p>
    <w:p w:rsidR="00E0182E" w:rsidRPr="00674836" w:rsidRDefault="00E0182E" w:rsidP="00E0182E">
      <w:pPr>
        <w:jc w:val="both"/>
        <w:rPr>
          <w:sz w:val="22"/>
          <w:szCs w:val="22"/>
        </w:rPr>
      </w:pPr>
      <w:r w:rsidRPr="00674836">
        <w:rPr>
          <w:sz w:val="22"/>
          <w:szCs w:val="22"/>
        </w:rPr>
        <w:t xml:space="preserve">Το 2020 ο προσανατολισμός σε οικονομικές πολιτικές φιλικότερες προς την ανάπτυξη, αλλά και σε διαρθρωτικές μεταρρυθμίσεις που βελτιώνουν το επενδυτικό περιβάλλον, αναμένεται να επιταχύνουν τη μεγέθυνση της οικονομίας. </w:t>
      </w:r>
    </w:p>
    <w:p w:rsidR="00E0182E" w:rsidRPr="00674836" w:rsidRDefault="00E0182E" w:rsidP="00E0182E">
      <w:pPr>
        <w:jc w:val="both"/>
        <w:rPr>
          <w:sz w:val="22"/>
          <w:szCs w:val="22"/>
        </w:rPr>
      </w:pPr>
    </w:p>
    <w:p w:rsidR="00E0182E" w:rsidRPr="00674836" w:rsidRDefault="00E0182E" w:rsidP="00E0182E">
      <w:pPr>
        <w:jc w:val="both"/>
        <w:rPr>
          <w:sz w:val="22"/>
          <w:szCs w:val="22"/>
        </w:rPr>
      </w:pPr>
      <w:r w:rsidRPr="00674836">
        <w:rPr>
          <w:sz w:val="22"/>
          <w:szCs w:val="22"/>
        </w:rPr>
        <w:t>Αντίθετα με την προς τα κάτω αναθεώρηση του ρυθμού ανάπτυξης του 2019, η πρόβλεψη για την ο</w:t>
      </w:r>
      <w:r w:rsidRPr="00674836">
        <w:rPr>
          <w:sz w:val="22"/>
          <w:szCs w:val="22"/>
        </w:rPr>
        <w:t>ι</w:t>
      </w:r>
      <w:r w:rsidRPr="00674836">
        <w:rPr>
          <w:sz w:val="22"/>
          <w:szCs w:val="22"/>
        </w:rPr>
        <w:t xml:space="preserve">κονομική ανάπτυξη του 2020 είναι σημαντικά αυξημένη έναντι του Προγράμματος Σταθερότητας, με κύριο μοχλό τη δέσμη των δημοσιονομικών μέτρων με έναρξη εφαρμογής εντός του 2020 και την </w:t>
      </w:r>
      <w:r w:rsidRPr="00674836">
        <w:rPr>
          <w:sz w:val="22"/>
          <w:szCs w:val="22"/>
        </w:rPr>
        <w:t>ε</w:t>
      </w:r>
      <w:r w:rsidRPr="00674836">
        <w:rPr>
          <w:sz w:val="22"/>
          <w:szCs w:val="22"/>
        </w:rPr>
        <w:t>δραίωση, μέσω αυτών, του περιβάλλοντος θετικών προσδοκιών που ήδη διαφαίνεται στην οικονομία. Μεταξύ των νέων αυτών μέτρων πολιτικής, που αναμένεται να έχουν καθαρή συμβολή 0,5 ποσ</w:t>
      </w:r>
      <w:r w:rsidRPr="00674836">
        <w:rPr>
          <w:sz w:val="22"/>
          <w:szCs w:val="22"/>
        </w:rPr>
        <w:t>ο</w:t>
      </w:r>
      <w:r w:rsidRPr="00674836">
        <w:rPr>
          <w:sz w:val="22"/>
          <w:szCs w:val="22"/>
        </w:rPr>
        <w:t>στιαίων μονάδων στην ανάπτυξη το 2020, η κυριότερη θετική επίδραση στην οικονομία αναμένεται να προέλθει από την αναδιαμόρφωση της φορολογίας εισοδήματος φυσικών προσώπων και τη δρ</w:t>
      </w:r>
      <w:r w:rsidRPr="00674836">
        <w:rPr>
          <w:sz w:val="22"/>
          <w:szCs w:val="22"/>
        </w:rPr>
        <w:t>α</w:t>
      </w:r>
      <w:r w:rsidRPr="00674836">
        <w:rPr>
          <w:sz w:val="22"/>
          <w:szCs w:val="22"/>
        </w:rPr>
        <w:t xml:space="preserve">στική μείωση των συντελεστών φορολογίας εισοδήματος νομικών προσώπων, μέσω </w:t>
      </w:r>
      <w:r w:rsidR="003B55C3">
        <w:rPr>
          <w:sz w:val="22"/>
          <w:szCs w:val="22"/>
        </w:rPr>
        <w:t xml:space="preserve">της ενίσχυσης </w:t>
      </w:r>
      <w:r w:rsidRPr="00674836">
        <w:rPr>
          <w:sz w:val="22"/>
          <w:szCs w:val="22"/>
        </w:rPr>
        <w:t xml:space="preserve">της ιδιωτικής κατανάλωσης και των επενδύσεων. </w:t>
      </w:r>
    </w:p>
    <w:p w:rsidR="00E0182E" w:rsidRPr="00674836" w:rsidRDefault="00E0182E" w:rsidP="00E0182E">
      <w:pPr>
        <w:jc w:val="both"/>
        <w:rPr>
          <w:sz w:val="22"/>
          <w:szCs w:val="22"/>
        </w:rPr>
      </w:pPr>
    </w:p>
    <w:p w:rsidR="00E0182E" w:rsidRPr="00674836" w:rsidRDefault="00E0182E" w:rsidP="00E0182E">
      <w:pPr>
        <w:jc w:val="both"/>
        <w:rPr>
          <w:sz w:val="22"/>
          <w:szCs w:val="22"/>
        </w:rPr>
      </w:pPr>
      <w:r w:rsidRPr="00674836">
        <w:rPr>
          <w:sz w:val="22"/>
          <w:szCs w:val="22"/>
        </w:rPr>
        <w:t>Με βάση τα παραπάνω και όπως απεικονίζεται στον πίνακα 1.4, το ΑΕΠ αναμένεται να αυξηθεί κατά 3,8% σε τρέχουσες τιμές και κατά 2,8% σε σταθερές τιμές. Η περιορισμένη άνοδος του αποπληθωρ</w:t>
      </w:r>
      <w:r w:rsidRPr="00674836">
        <w:rPr>
          <w:sz w:val="22"/>
          <w:szCs w:val="22"/>
        </w:rPr>
        <w:t>ι</w:t>
      </w:r>
      <w:r w:rsidRPr="00674836">
        <w:rPr>
          <w:sz w:val="22"/>
          <w:szCs w:val="22"/>
        </w:rPr>
        <w:t>στή του ΑΕΠ το 2020 έναντι του 2019 (1,0% έναντι 0,9% αντίστοιχα) αντανακλά την υπολειπόμενη επίδραση των μέτρων μείωσης έμμεσης φορολογίας του 2019 στον αποπληθωριστή ιδιωτικής κατ</w:t>
      </w:r>
      <w:r w:rsidRPr="00674836">
        <w:rPr>
          <w:sz w:val="22"/>
          <w:szCs w:val="22"/>
        </w:rPr>
        <w:t>α</w:t>
      </w:r>
      <w:r w:rsidRPr="00674836">
        <w:rPr>
          <w:sz w:val="22"/>
          <w:szCs w:val="22"/>
        </w:rPr>
        <w:t xml:space="preserve">νάλωσης, τις εξωτερικές υποθέσεις για τη διεθνή τιμή του πετρελαίου και το σταδιακό μόνο κλείσιμο του κενού παραγωγής. </w:t>
      </w:r>
    </w:p>
    <w:p w:rsidR="00E0182E" w:rsidRPr="00674836" w:rsidRDefault="00E0182E" w:rsidP="00E0182E">
      <w:pPr>
        <w:jc w:val="both"/>
        <w:rPr>
          <w:sz w:val="22"/>
          <w:szCs w:val="22"/>
        </w:rPr>
      </w:pPr>
    </w:p>
    <w:p w:rsidR="00E0182E" w:rsidRPr="00674836" w:rsidRDefault="00E0182E" w:rsidP="00E0182E">
      <w:pPr>
        <w:jc w:val="both"/>
        <w:rPr>
          <w:sz w:val="22"/>
          <w:szCs w:val="22"/>
        </w:rPr>
      </w:pPr>
      <w:r w:rsidRPr="00674836">
        <w:rPr>
          <w:sz w:val="22"/>
          <w:szCs w:val="22"/>
        </w:rPr>
        <w:t>Ο ως άνω εύρωστος ρυθμός πραγματικής ανάπτυξης το 2020 αντικατοπτρίζει τη δυναμική όλων των συνιστωσών της εγχώριας ζήτησης, που οδηγεί το ρυθμό αύξησης της τελευταίας σε επιτάχυνση έν</w:t>
      </w:r>
      <w:r w:rsidRPr="00674836">
        <w:rPr>
          <w:sz w:val="22"/>
          <w:szCs w:val="22"/>
        </w:rPr>
        <w:t>α</w:t>
      </w:r>
      <w:r w:rsidRPr="00674836">
        <w:rPr>
          <w:sz w:val="22"/>
          <w:szCs w:val="22"/>
        </w:rPr>
        <w:t>ντι του 2019 (2,9% έναντι 1,8%).</w:t>
      </w:r>
    </w:p>
    <w:p w:rsidR="00E0182E" w:rsidRPr="00674836" w:rsidRDefault="00E0182E" w:rsidP="00E0182E">
      <w:pPr>
        <w:jc w:val="both"/>
        <w:rPr>
          <w:sz w:val="22"/>
          <w:szCs w:val="22"/>
        </w:rPr>
      </w:pPr>
    </w:p>
    <w:p w:rsidR="00E0182E" w:rsidRPr="00674836" w:rsidRDefault="00E0182E" w:rsidP="00E0182E">
      <w:pPr>
        <w:jc w:val="both"/>
        <w:rPr>
          <w:sz w:val="22"/>
          <w:szCs w:val="22"/>
        </w:rPr>
      </w:pPr>
      <w:r w:rsidRPr="00674836">
        <w:rPr>
          <w:sz w:val="22"/>
          <w:szCs w:val="22"/>
        </w:rPr>
        <w:t>Ο ακαθάριστος σχηματισμός παγίου κεφαλαίου αναμένεται να έχει τη μεγαλύτερη συμβολή στην α</w:t>
      </w:r>
      <w:r w:rsidRPr="00674836">
        <w:rPr>
          <w:sz w:val="22"/>
          <w:szCs w:val="22"/>
        </w:rPr>
        <w:t>ύ</w:t>
      </w:r>
      <w:r w:rsidRPr="00674836">
        <w:rPr>
          <w:sz w:val="22"/>
          <w:szCs w:val="22"/>
        </w:rPr>
        <w:t>ξηση του ΑΕΠ το 2020 (κατά 1,6 ποσοστιαίες μονάδες), τόσο έναντι των υπολοίπων συνιστωσών της εγχώριας ζήτησης, όσο και έναντι των επιδόσεών του</w:t>
      </w:r>
      <w:r w:rsidRPr="00674836">
        <w:rPr>
          <w:sz w:val="22"/>
          <w:szCs w:val="22"/>
          <w:vertAlign w:val="superscript"/>
        </w:rPr>
        <w:footnoteReference w:id="42"/>
      </w:r>
      <w:r w:rsidRPr="00674836">
        <w:rPr>
          <w:sz w:val="22"/>
          <w:szCs w:val="22"/>
        </w:rPr>
        <w:t xml:space="preserve"> από το 2007. Η σημαντικά θετική συμβολή οφείλεται στους διψήφιους ρυθμούς αύξησης πραγματικών επενδύσεων τόσο στις κατοικίες και τις λοιπές κατασκευές, όσο και στον εξοπλισμό. </w:t>
      </w:r>
    </w:p>
    <w:p w:rsidR="00E0182E" w:rsidRPr="00674836" w:rsidRDefault="00E0182E" w:rsidP="00E0182E">
      <w:pPr>
        <w:jc w:val="both"/>
        <w:rPr>
          <w:sz w:val="22"/>
          <w:szCs w:val="22"/>
        </w:rPr>
      </w:pPr>
    </w:p>
    <w:p w:rsidR="00E0182E" w:rsidRPr="00674836" w:rsidRDefault="00E0182E" w:rsidP="00E0182E">
      <w:pPr>
        <w:jc w:val="both"/>
        <w:rPr>
          <w:sz w:val="22"/>
          <w:szCs w:val="22"/>
        </w:rPr>
      </w:pPr>
      <w:r w:rsidRPr="00674836">
        <w:rPr>
          <w:sz w:val="22"/>
          <w:szCs w:val="22"/>
        </w:rPr>
        <w:t>Η ιδιωτική κατανάλωση το 2020 αναμένεται να αποτυπώσει τα οφέλη από τη συνεχιζόμενη αύξηση της απασχόλησης (+1,8% σε ετήσια βάση), τη σταθερή, έναντι του 2019, μείωση της ανεργίας ως π</w:t>
      </w:r>
      <w:r w:rsidRPr="00674836">
        <w:rPr>
          <w:sz w:val="22"/>
          <w:szCs w:val="22"/>
        </w:rPr>
        <w:t>ο</w:t>
      </w:r>
      <w:r w:rsidRPr="00674836">
        <w:rPr>
          <w:sz w:val="22"/>
          <w:szCs w:val="22"/>
        </w:rPr>
        <w:t>σοστό του εργατικού δυναμικού (κατά 1,8 ποσοστιαίες μονάδες) και τον διπλάσιο ρυθμό αύξησης του μέσου μισθού έναντι του 2019 (+1,2%). Από τις ως άνω εξελίξεις, στις οποίες συμβάλλουν σημαντικά τα νέα δημοσιονομικά μέτρα του 2020, ο ρυθμός αύξησης της ιδιωτικής κατανάλωσης εκτιμάται σε 1,8% έναντι του 2019. Επίσης θετική, αλλά πιο μετριοπαθής, αναμένεται η ετήσια μεταβολή της δ</w:t>
      </w:r>
      <w:r w:rsidRPr="00674836">
        <w:rPr>
          <w:sz w:val="22"/>
          <w:szCs w:val="22"/>
        </w:rPr>
        <w:t>η</w:t>
      </w:r>
      <w:r w:rsidRPr="00674836">
        <w:rPr>
          <w:sz w:val="22"/>
          <w:szCs w:val="22"/>
        </w:rPr>
        <w:t>μόσιας κατανάλωσης (0,6%), δεδομένης της υψηλής βάσης του 2019 και της συγκρατημένης δημοσ</w:t>
      </w:r>
      <w:r w:rsidRPr="00674836">
        <w:rPr>
          <w:sz w:val="22"/>
          <w:szCs w:val="22"/>
        </w:rPr>
        <w:t>ι</w:t>
      </w:r>
      <w:r w:rsidRPr="00674836">
        <w:rPr>
          <w:sz w:val="22"/>
          <w:szCs w:val="22"/>
        </w:rPr>
        <w:t xml:space="preserve">ονομικής πολιτικής σε ό,τι αφορά τις δημόσιες δαπάνες. </w:t>
      </w:r>
    </w:p>
    <w:p w:rsidR="00E0182E" w:rsidRPr="00674836" w:rsidRDefault="00E0182E" w:rsidP="00E0182E">
      <w:pPr>
        <w:jc w:val="both"/>
        <w:rPr>
          <w:sz w:val="22"/>
          <w:szCs w:val="22"/>
        </w:rPr>
      </w:pPr>
    </w:p>
    <w:p w:rsidR="00E0182E" w:rsidRPr="00674836" w:rsidRDefault="00E0182E" w:rsidP="00E0182E">
      <w:pPr>
        <w:jc w:val="both"/>
        <w:rPr>
          <w:sz w:val="22"/>
          <w:szCs w:val="22"/>
        </w:rPr>
      </w:pPr>
      <w:r w:rsidRPr="00674836">
        <w:rPr>
          <w:sz w:val="22"/>
          <w:szCs w:val="22"/>
        </w:rPr>
        <w:t>Από την άλλη πλευρά, ο εξωτερικός τομέας της οικονομίας αναμένεται να έχει οριακά αρνητική συ</w:t>
      </w:r>
      <w:r w:rsidRPr="00674836">
        <w:rPr>
          <w:sz w:val="22"/>
          <w:szCs w:val="22"/>
        </w:rPr>
        <w:t>μ</w:t>
      </w:r>
      <w:r w:rsidRPr="00674836">
        <w:rPr>
          <w:sz w:val="22"/>
          <w:szCs w:val="22"/>
        </w:rPr>
        <w:t xml:space="preserve">βολή στην ανάπτυξη (κατά 0,1 ποσοστιαία μονάδα). Ειδικότερα, η μεγάλη ώθηση των επενδύσεων και της ιδιωτικής κατανάλωσης εκτιμάται ότι θα </w:t>
      </w:r>
      <w:r w:rsidR="00FE47D6">
        <w:rPr>
          <w:sz w:val="22"/>
          <w:szCs w:val="22"/>
        </w:rPr>
        <w:t xml:space="preserve">οδηγήσει σε </w:t>
      </w:r>
      <w:r w:rsidRPr="00674836">
        <w:rPr>
          <w:sz w:val="22"/>
          <w:szCs w:val="22"/>
        </w:rPr>
        <w:t xml:space="preserve">ρυθμό αύξησης εισαγωγών αγαθών και υπηρεσιών </w:t>
      </w:r>
      <w:r w:rsidR="00FE47D6">
        <w:rPr>
          <w:sz w:val="22"/>
          <w:szCs w:val="22"/>
        </w:rPr>
        <w:t xml:space="preserve">που θα είναι οριακά μεγαλύτερος από </w:t>
      </w:r>
      <w:r w:rsidRPr="00674836">
        <w:rPr>
          <w:sz w:val="22"/>
          <w:szCs w:val="22"/>
        </w:rPr>
        <w:t xml:space="preserve">τον ρυθμό </w:t>
      </w:r>
      <w:r w:rsidR="00FE47D6">
        <w:rPr>
          <w:sz w:val="22"/>
          <w:szCs w:val="22"/>
        </w:rPr>
        <w:t xml:space="preserve">αύξησης </w:t>
      </w:r>
      <w:r w:rsidRPr="00674836">
        <w:rPr>
          <w:sz w:val="22"/>
          <w:szCs w:val="22"/>
        </w:rPr>
        <w:t>των εξαγωγών (5,2% έναντι 5,1% αντίστοιχα).</w:t>
      </w:r>
    </w:p>
    <w:p w:rsidR="00E0182E" w:rsidRPr="00674836" w:rsidRDefault="00E0182E" w:rsidP="00E0182E">
      <w:pPr>
        <w:jc w:val="both"/>
        <w:rPr>
          <w:sz w:val="22"/>
          <w:szCs w:val="22"/>
        </w:rPr>
      </w:pPr>
    </w:p>
    <w:p w:rsidR="00E0182E" w:rsidRPr="004A7DE0" w:rsidRDefault="00E0182E" w:rsidP="00E0182E">
      <w:pPr>
        <w:jc w:val="both"/>
        <w:rPr>
          <w:sz w:val="22"/>
          <w:szCs w:val="22"/>
        </w:rPr>
      </w:pPr>
      <w:r w:rsidRPr="00674836">
        <w:rPr>
          <w:sz w:val="22"/>
          <w:szCs w:val="22"/>
        </w:rPr>
        <w:t>Ο πληθωρισμός του 2020 εκτιμάται οριακά μόνο υψηλότερα από του 2019 (0,7% από 0,6%, βάσει ΕνΔΤΚ). Ουσιώδης επιτάχυνση του πληθωρισμού αναμένεται μετά το 2020, καθώς το κενό παραγ</w:t>
      </w:r>
      <w:r w:rsidRPr="00674836">
        <w:rPr>
          <w:sz w:val="22"/>
          <w:szCs w:val="22"/>
        </w:rPr>
        <w:t>ω</w:t>
      </w:r>
      <w:r w:rsidRPr="00674836">
        <w:rPr>
          <w:sz w:val="22"/>
          <w:szCs w:val="22"/>
        </w:rPr>
        <w:t>γής σταδιακά θα κλείνει.</w:t>
      </w:r>
    </w:p>
    <w:p w:rsidR="00A67FAC" w:rsidRPr="004A7DE0" w:rsidRDefault="00A67FAC" w:rsidP="00E0182E">
      <w:pPr>
        <w:jc w:val="both"/>
        <w:rPr>
          <w:sz w:val="22"/>
          <w:szCs w:val="22"/>
        </w:rPr>
      </w:pPr>
    </w:p>
    <w:p w:rsidR="00A67FAC" w:rsidRPr="004A7DE0" w:rsidRDefault="00A67FAC" w:rsidP="00E0182E">
      <w:pPr>
        <w:jc w:val="both"/>
        <w:rPr>
          <w:sz w:val="22"/>
          <w:szCs w:val="22"/>
        </w:rPr>
      </w:pPr>
    </w:p>
    <w:p w:rsidR="00E0182E" w:rsidRPr="00674836" w:rsidRDefault="00E0182E" w:rsidP="00E0182E">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0A0"/>
      </w:tblPr>
      <w:tblGrid>
        <w:gridCol w:w="4071"/>
        <w:gridCol w:w="1018"/>
        <w:gridCol w:w="1080"/>
        <w:gridCol w:w="1026"/>
      </w:tblGrid>
      <w:tr w:rsidR="0048389D" w:rsidRPr="00D37EC4" w:rsidTr="00D37EC4">
        <w:trPr>
          <w:jc w:val="center"/>
        </w:trPr>
        <w:tc>
          <w:tcPr>
            <w:tcW w:w="7195" w:type="dxa"/>
            <w:gridSpan w:val="4"/>
            <w:tcBorders>
              <w:top w:val="single" w:sz="4" w:space="0" w:color="auto"/>
              <w:bottom w:val="nil"/>
            </w:tcBorders>
            <w:shd w:val="clear" w:color="auto" w:fill="595959" w:themeFill="text1" w:themeFillTint="A6"/>
            <w:vAlign w:val="center"/>
          </w:tcPr>
          <w:p w:rsidR="0048389D" w:rsidRPr="00D37EC4" w:rsidRDefault="00D21DE7" w:rsidP="00B970E9">
            <w:pPr>
              <w:snapToGrid w:val="0"/>
              <w:spacing w:before="120"/>
              <w:jc w:val="center"/>
              <w:rPr>
                <w:rFonts w:ascii="Arial Narrow" w:hAnsi="Arial Narrow"/>
                <w:b/>
                <w:bCs/>
                <w:color w:val="FFFFFF" w:themeColor="background1"/>
              </w:rPr>
            </w:pPr>
            <w:r>
              <w:rPr>
                <w:rFonts w:ascii="Arial Narrow" w:hAnsi="Arial Narrow"/>
                <w:b/>
                <w:bCs/>
                <w:color w:val="FFFFFF" w:themeColor="background1"/>
                <w:sz w:val="22"/>
                <w:szCs w:val="22"/>
              </w:rPr>
              <w:t>Πίνακας 1.5</w:t>
            </w:r>
            <w:r w:rsidR="0048389D" w:rsidRPr="00D37EC4">
              <w:rPr>
                <w:rFonts w:ascii="Arial Narrow" w:hAnsi="Arial Narrow"/>
                <w:b/>
                <w:bCs/>
                <w:color w:val="FFFFFF" w:themeColor="background1"/>
                <w:sz w:val="22"/>
                <w:szCs w:val="22"/>
              </w:rPr>
              <w:t xml:space="preserve"> Βασικά μεγέθη της Ελληνικής Οικονομίας</w:t>
            </w:r>
          </w:p>
          <w:p w:rsidR="0048389D" w:rsidRPr="00D37EC4" w:rsidRDefault="0048389D" w:rsidP="003B55C3">
            <w:pPr>
              <w:snapToGrid w:val="0"/>
              <w:spacing w:after="120"/>
              <w:jc w:val="center"/>
              <w:rPr>
                <w:b/>
                <w:color w:val="FFFFFF" w:themeColor="background1"/>
              </w:rPr>
            </w:pPr>
            <w:r w:rsidRPr="00D37EC4">
              <w:rPr>
                <w:rFonts w:ascii="Arial Narrow" w:hAnsi="Arial Narrow"/>
                <w:b/>
                <w:bCs/>
                <w:color w:val="FFFFFF" w:themeColor="background1"/>
                <w:sz w:val="22"/>
                <w:szCs w:val="22"/>
              </w:rPr>
              <w:t>(</w:t>
            </w:r>
            <w:r w:rsidR="003B55C3">
              <w:rPr>
                <w:rFonts w:ascii="Arial Narrow" w:hAnsi="Arial Narrow"/>
                <w:b/>
                <w:bCs/>
                <w:color w:val="FFFFFF" w:themeColor="background1"/>
                <w:sz w:val="22"/>
                <w:szCs w:val="22"/>
              </w:rPr>
              <w:t xml:space="preserve">% </w:t>
            </w:r>
            <w:r w:rsidRPr="00D37EC4">
              <w:rPr>
                <w:rFonts w:ascii="Arial Narrow" w:hAnsi="Arial Narrow"/>
                <w:b/>
                <w:bCs/>
                <w:color w:val="FFFFFF" w:themeColor="background1"/>
                <w:sz w:val="22"/>
                <w:szCs w:val="22"/>
              </w:rPr>
              <w:t>ετήσιες μεταβολές, σταθερές τιμές)</w:t>
            </w:r>
          </w:p>
        </w:tc>
      </w:tr>
      <w:tr w:rsidR="00D37EC4" w:rsidRPr="00D37EC4" w:rsidTr="008B78F7">
        <w:trPr>
          <w:trHeight w:val="57"/>
          <w:jc w:val="center"/>
        </w:trPr>
        <w:tc>
          <w:tcPr>
            <w:tcW w:w="7195" w:type="dxa"/>
            <w:gridSpan w:val="4"/>
            <w:tcBorders>
              <w:top w:val="nil"/>
              <w:bottom w:val="single" w:sz="4" w:space="0" w:color="auto"/>
            </w:tcBorders>
            <w:shd w:val="clear" w:color="auto" w:fill="FFFFFF" w:themeFill="background1"/>
            <w:vAlign w:val="center"/>
          </w:tcPr>
          <w:p w:rsidR="00D37EC4" w:rsidRPr="00D37EC4" w:rsidRDefault="00D37EC4" w:rsidP="00B970E9">
            <w:pPr>
              <w:snapToGrid w:val="0"/>
              <w:spacing w:before="120"/>
              <w:jc w:val="center"/>
              <w:rPr>
                <w:rFonts w:ascii="Arial Narrow" w:hAnsi="Arial Narrow"/>
                <w:b/>
                <w:bCs/>
                <w:color w:val="FFFFFF" w:themeColor="background1"/>
                <w:sz w:val="22"/>
                <w:szCs w:val="22"/>
              </w:rPr>
            </w:pPr>
          </w:p>
        </w:tc>
      </w:tr>
      <w:tr w:rsidR="0048389D" w:rsidRPr="006D6955" w:rsidTr="00B970E9">
        <w:trPr>
          <w:jc w:val="center"/>
        </w:trPr>
        <w:tc>
          <w:tcPr>
            <w:tcW w:w="4071" w:type="dxa"/>
            <w:tcBorders>
              <w:top w:val="nil"/>
              <w:bottom w:val="single" w:sz="4" w:space="0" w:color="auto"/>
              <w:right w:val="single" w:sz="4" w:space="0" w:color="auto"/>
            </w:tcBorders>
            <w:vAlign w:val="center"/>
          </w:tcPr>
          <w:p w:rsidR="0048389D" w:rsidRPr="00E545C6" w:rsidRDefault="0048389D" w:rsidP="00B970E9">
            <w:pPr>
              <w:spacing w:before="80" w:after="80"/>
              <w:jc w:val="center"/>
              <w:rPr>
                <w:rFonts w:ascii="Arial Narrow" w:hAnsi="Arial Narrow"/>
                <w:b/>
                <w:sz w:val="16"/>
                <w:szCs w:val="16"/>
              </w:rPr>
            </w:pPr>
          </w:p>
        </w:tc>
        <w:tc>
          <w:tcPr>
            <w:tcW w:w="1018" w:type="dxa"/>
            <w:tcBorders>
              <w:top w:val="single" w:sz="4" w:space="0" w:color="auto"/>
              <w:left w:val="single" w:sz="4" w:space="0" w:color="auto"/>
              <w:bottom w:val="single" w:sz="4" w:space="0" w:color="auto"/>
              <w:right w:val="single" w:sz="4" w:space="0" w:color="auto"/>
            </w:tcBorders>
            <w:vAlign w:val="center"/>
          </w:tcPr>
          <w:p w:rsidR="0048389D" w:rsidRPr="00E545C6" w:rsidRDefault="0048389D" w:rsidP="00B970E9">
            <w:pPr>
              <w:spacing w:before="80" w:after="80"/>
              <w:jc w:val="center"/>
              <w:rPr>
                <w:rFonts w:ascii="Arial Narrow" w:hAnsi="Arial Narrow"/>
                <w:b/>
                <w:sz w:val="16"/>
                <w:szCs w:val="16"/>
              </w:rPr>
            </w:pPr>
            <w:r w:rsidRPr="00E545C6">
              <w:rPr>
                <w:rFonts w:ascii="Arial Narrow" w:hAnsi="Arial Narrow"/>
                <w:b/>
                <w:sz w:val="16"/>
                <w:szCs w:val="16"/>
              </w:rPr>
              <w:t>2018</w:t>
            </w:r>
          </w:p>
        </w:tc>
        <w:tc>
          <w:tcPr>
            <w:tcW w:w="1080" w:type="dxa"/>
            <w:tcBorders>
              <w:top w:val="nil"/>
              <w:left w:val="single" w:sz="4" w:space="0" w:color="auto"/>
              <w:bottom w:val="single" w:sz="4" w:space="0" w:color="auto"/>
              <w:right w:val="single" w:sz="4" w:space="0" w:color="auto"/>
            </w:tcBorders>
            <w:vAlign w:val="center"/>
          </w:tcPr>
          <w:p w:rsidR="0048389D" w:rsidRPr="00E545C6" w:rsidRDefault="0048389D" w:rsidP="00B970E9">
            <w:pPr>
              <w:spacing w:before="80" w:after="80"/>
              <w:jc w:val="center"/>
              <w:rPr>
                <w:rFonts w:ascii="Arial Narrow" w:hAnsi="Arial Narrow"/>
                <w:b/>
                <w:sz w:val="16"/>
                <w:szCs w:val="16"/>
              </w:rPr>
            </w:pPr>
            <w:r w:rsidRPr="00E545C6">
              <w:rPr>
                <w:rFonts w:ascii="Arial Narrow" w:hAnsi="Arial Narrow"/>
                <w:b/>
                <w:sz w:val="16"/>
                <w:szCs w:val="16"/>
              </w:rPr>
              <w:t>2019**</w:t>
            </w:r>
          </w:p>
        </w:tc>
        <w:tc>
          <w:tcPr>
            <w:tcW w:w="1026" w:type="dxa"/>
            <w:tcBorders>
              <w:left w:val="single" w:sz="4" w:space="0" w:color="auto"/>
              <w:bottom w:val="single" w:sz="4" w:space="0" w:color="auto"/>
            </w:tcBorders>
          </w:tcPr>
          <w:p w:rsidR="0048389D" w:rsidRPr="00E545C6" w:rsidRDefault="0048389D" w:rsidP="00B970E9">
            <w:pPr>
              <w:spacing w:before="80" w:after="80"/>
              <w:jc w:val="center"/>
              <w:rPr>
                <w:rFonts w:ascii="Arial Narrow" w:hAnsi="Arial Narrow"/>
                <w:b/>
                <w:sz w:val="16"/>
                <w:szCs w:val="16"/>
              </w:rPr>
            </w:pPr>
            <w:r w:rsidRPr="00E545C6">
              <w:rPr>
                <w:rFonts w:ascii="Arial Narrow" w:hAnsi="Arial Narrow"/>
                <w:b/>
                <w:sz w:val="16"/>
                <w:szCs w:val="16"/>
              </w:rPr>
              <w:t>2020**</w:t>
            </w:r>
          </w:p>
        </w:tc>
      </w:tr>
      <w:tr w:rsidR="0048389D" w:rsidRPr="006D6955" w:rsidTr="00D80F6D">
        <w:trPr>
          <w:trHeight w:val="283"/>
          <w:jc w:val="center"/>
        </w:trPr>
        <w:tc>
          <w:tcPr>
            <w:tcW w:w="4071" w:type="dxa"/>
            <w:tcBorders>
              <w:top w:val="single" w:sz="4" w:space="0" w:color="auto"/>
              <w:bottom w:val="nil"/>
              <w:right w:val="nil"/>
            </w:tcBorders>
            <w:shd w:val="clear" w:color="auto" w:fill="A6A6A6" w:themeFill="background1" w:themeFillShade="A6"/>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ΑΕΠ</w:t>
            </w:r>
          </w:p>
        </w:tc>
        <w:tc>
          <w:tcPr>
            <w:tcW w:w="1018" w:type="dxa"/>
            <w:tcBorders>
              <w:top w:val="single" w:sz="4" w:space="0" w:color="auto"/>
              <w:left w:val="nil"/>
              <w:bottom w:val="nil"/>
              <w:right w:val="nil"/>
            </w:tcBorders>
            <w:shd w:val="clear" w:color="auto" w:fill="A6A6A6" w:themeFill="background1" w:themeFillShade="A6"/>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1,9</w:t>
            </w:r>
          </w:p>
        </w:tc>
        <w:tc>
          <w:tcPr>
            <w:tcW w:w="1080" w:type="dxa"/>
            <w:tcBorders>
              <w:top w:val="single" w:sz="4" w:space="0" w:color="auto"/>
              <w:left w:val="nil"/>
              <w:bottom w:val="nil"/>
              <w:right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2,0</w:t>
            </w:r>
          </w:p>
        </w:tc>
        <w:tc>
          <w:tcPr>
            <w:tcW w:w="1026" w:type="dxa"/>
            <w:tcBorders>
              <w:top w:val="single" w:sz="4" w:space="0" w:color="auto"/>
              <w:left w:val="nil"/>
              <w:bottom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2,8</w:t>
            </w:r>
          </w:p>
        </w:tc>
      </w:tr>
      <w:tr w:rsidR="0048389D" w:rsidRPr="006D6955" w:rsidTr="00D80F6D">
        <w:trPr>
          <w:trHeight w:val="283"/>
          <w:jc w:val="center"/>
        </w:trPr>
        <w:tc>
          <w:tcPr>
            <w:tcW w:w="4071" w:type="dxa"/>
            <w:tcBorders>
              <w:top w:val="nil"/>
              <w:bottom w:val="nil"/>
              <w:right w:val="nil"/>
            </w:tcBorders>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Ιδιωτική κατανάλωση</w:t>
            </w:r>
          </w:p>
        </w:tc>
        <w:tc>
          <w:tcPr>
            <w:tcW w:w="1018" w:type="dxa"/>
            <w:tcBorders>
              <w:top w:val="nil"/>
              <w:left w:val="nil"/>
              <w:bottom w:val="nil"/>
              <w:right w:val="nil"/>
            </w:tcBorders>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1,1</w:t>
            </w:r>
          </w:p>
        </w:tc>
        <w:tc>
          <w:tcPr>
            <w:tcW w:w="1080" w:type="dxa"/>
            <w:tcBorders>
              <w:top w:val="nil"/>
              <w:left w:val="nil"/>
              <w:bottom w:val="nil"/>
              <w:right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0,6</w:t>
            </w:r>
          </w:p>
        </w:tc>
        <w:tc>
          <w:tcPr>
            <w:tcW w:w="1026" w:type="dxa"/>
            <w:tcBorders>
              <w:top w:val="nil"/>
              <w:left w:val="nil"/>
              <w:bottom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1,8</w:t>
            </w:r>
          </w:p>
        </w:tc>
      </w:tr>
      <w:tr w:rsidR="0048389D" w:rsidRPr="006D6955" w:rsidTr="00D80F6D">
        <w:trPr>
          <w:trHeight w:val="283"/>
          <w:jc w:val="center"/>
        </w:trPr>
        <w:tc>
          <w:tcPr>
            <w:tcW w:w="4071" w:type="dxa"/>
            <w:tcBorders>
              <w:top w:val="nil"/>
              <w:bottom w:val="nil"/>
              <w:right w:val="nil"/>
            </w:tcBorders>
            <w:shd w:val="clear" w:color="auto" w:fill="A6A6A6" w:themeFill="background1" w:themeFillShade="A6"/>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Δημόσια κατανάλωση</w:t>
            </w:r>
          </w:p>
        </w:tc>
        <w:tc>
          <w:tcPr>
            <w:tcW w:w="1018"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-2,5</w:t>
            </w:r>
          </w:p>
        </w:tc>
        <w:tc>
          <w:tcPr>
            <w:tcW w:w="1080"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1,6</w:t>
            </w:r>
          </w:p>
        </w:tc>
        <w:tc>
          <w:tcPr>
            <w:tcW w:w="1026" w:type="dxa"/>
            <w:tcBorders>
              <w:top w:val="nil"/>
              <w:left w:val="nil"/>
              <w:bottom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0,6</w:t>
            </w:r>
          </w:p>
        </w:tc>
      </w:tr>
      <w:tr w:rsidR="0048389D" w:rsidRPr="006D6955" w:rsidTr="00D80F6D">
        <w:trPr>
          <w:trHeight w:val="283"/>
          <w:jc w:val="center"/>
        </w:trPr>
        <w:tc>
          <w:tcPr>
            <w:tcW w:w="4071" w:type="dxa"/>
            <w:tcBorders>
              <w:top w:val="nil"/>
              <w:bottom w:val="nil"/>
              <w:right w:val="nil"/>
            </w:tcBorders>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Ακαθάριστος σχηματισμός παγίου κεφαλαίου</w:t>
            </w:r>
          </w:p>
        </w:tc>
        <w:tc>
          <w:tcPr>
            <w:tcW w:w="1018" w:type="dxa"/>
            <w:tcBorders>
              <w:top w:val="nil"/>
              <w:left w:val="nil"/>
              <w:bottom w:val="nil"/>
              <w:right w:val="nil"/>
            </w:tcBorders>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-12,2</w:t>
            </w:r>
          </w:p>
        </w:tc>
        <w:tc>
          <w:tcPr>
            <w:tcW w:w="1080" w:type="dxa"/>
            <w:tcBorders>
              <w:top w:val="nil"/>
              <w:left w:val="nil"/>
              <w:bottom w:val="nil"/>
              <w:right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8,8</w:t>
            </w:r>
          </w:p>
        </w:tc>
        <w:tc>
          <w:tcPr>
            <w:tcW w:w="1026" w:type="dxa"/>
            <w:tcBorders>
              <w:top w:val="nil"/>
              <w:left w:val="nil"/>
              <w:bottom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13,4</w:t>
            </w:r>
          </w:p>
        </w:tc>
      </w:tr>
      <w:tr w:rsidR="0048389D" w:rsidRPr="006D6955" w:rsidTr="00D80F6D">
        <w:trPr>
          <w:trHeight w:val="283"/>
          <w:jc w:val="center"/>
        </w:trPr>
        <w:tc>
          <w:tcPr>
            <w:tcW w:w="4071" w:type="dxa"/>
            <w:tcBorders>
              <w:top w:val="nil"/>
              <w:bottom w:val="nil"/>
              <w:right w:val="nil"/>
            </w:tcBorders>
            <w:shd w:val="clear" w:color="auto" w:fill="A6A6A6" w:themeFill="background1" w:themeFillShade="A6"/>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Εξαγωγές αγαθών και υπηρεσιών</w:t>
            </w:r>
          </w:p>
        </w:tc>
        <w:tc>
          <w:tcPr>
            <w:tcW w:w="1018"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8,7</w:t>
            </w:r>
          </w:p>
        </w:tc>
        <w:tc>
          <w:tcPr>
            <w:tcW w:w="1080"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4,9</w:t>
            </w:r>
          </w:p>
        </w:tc>
        <w:tc>
          <w:tcPr>
            <w:tcW w:w="1026" w:type="dxa"/>
            <w:tcBorders>
              <w:top w:val="nil"/>
              <w:left w:val="nil"/>
              <w:bottom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5,1</w:t>
            </w:r>
          </w:p>
        </w:tc>
      </w:tr>
      <w:tr w:rsidR="0048389D" w:rsidRPr="006D6955" w:rsidTr="00D80F6D">
        <w:trPr>
          <w:trHeight w:val="283"/>
          <w:jc w:val="center"/>
        </w:trPr>
        <w:tc>
          <w:tcPr>
            <w:tcW w:w="4071" w:type="dxa"/>
            <w:tcBorders>
              <w:top w:val="nil"/>
              <w:bottom w:val="nil"/>
              <w:right w:val="nil"/>
            </w:tcBorders>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Εισαγωγές αγαθών και υπηρεσιών</w:t>
            </w:r>
          </w:p>
        </w:tc>
        <w:tc>
          <w:tcPr>
            <w:tcW w:w="1018" w:type="dxa"/>
            <w:tcBorders>
              <w:top w:val="nil"/>
              <w:left w:val="nil"/>
              <w:bottom w:val="nil"/>
              <w:right w:val="nil"/>
            </w:tcBorders>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4,2</w:t>
            </w:r>
          </w:p>
        </w:tc>
        <w:tc>
          <w:tcPr>
            <w:tcW w:w="1080" w:type="dxa"/>
            <w:tcBorders>
              <w:top w:val="nil"/>
              <w:left w:val="nil"/>
              <w:bottom w:val="nil"/>
              <w:right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4,1</w:t>
            </w:r>
          </w:p>
        </w:tc>
        <w:tc>
          <w:tcPr>
            <w:tcW w:w="1026" w:type="dxa"/>
            <w:tcBorders>
              <w:top w:val="nil"/>
              <w:left w:val="nil"/>
              <w:bottom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5,2</w:t>
            </w:r>
          </w:p>
        </w:tc>
      </w:tr>
      <w:tr w:rsidR="0048389D" w:rsidRPr="006D6955" w:rsidTr="00D80F6D">
        <w:trPr>
          <w:trHeight w:val="283"/>
          <w:jc w:val="center"/>
        </w:trPr>
        <w:tc>
          <w:tcPr>
            <w:tcW w:w="4071" w:type="dxa"/>
            <w:tcBorders>
              <w:top w:val="nil"/>
              <w:bottom w:val="nil"/>
              <w:right w:val="nil"/>
            </w:tcBorders>
            <w:shd w:val="clear" w:color="auto" w:fill="A6A6A6" w:themeFill="background1" w:themeFillShade="A6"/>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Αποπληθωριστής ΑΕΠ</w:t>
            </w:r>
          </w:p>
        </w:tc>
        <w:tc>
          <w:tcPr>
            <w:tcW w:w="1018"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0,6</w:t>
            </w:r>
          </w:p>
        </w:tc>
        <w:tc>
          <w:tcPr>
            <w:tcW w:w="1080"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0,9</w:t>
            </w:r>
          </w:p>
        </w:tc>
        <w:tc>
          <w:tcPr>
            <w:tcW w:w="1026" w:type="dxa"/>
            <w:tcBorders>
              <w:top w:val="nil"/>
              <w:left w:val="nil"/>
              <w:bottom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1,0</w:t>
            </w:r>
          </w:p>
        </w:tc>
      </w:tr>
      <w:tr w:rsidR="0048389D" w:rsidRPr="006D6955" w:rsidTr="00D80F6D">
        <w:trPr>
          <w:trHeight w:val="283"/>
          <w:jc w:val="center"/>
        </w:trPr>
        <w:tc>
          <w:tcPr>
            <w:tcW w:w="4071" w:type="dxa"/>
            <w:tcBorders>
              <w:top w:val="nil"/>
              <w:bottom w:val="nil"/>
              <w:right w:val="nil"/>
            </w:tcBorders>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Εναρμονισμένος Δείκτης Τιμών Καταναλωτή</w:t>
            </w:r>
          </w:p>
        </w:tc>
        <w:tc>
          <w:tcPr>
            <w:tcW w:w="1018" w:type="dxa"/>
            <w:tcBorders>
              <w:top w:val="nil"/>
              <w:left w:val="nil"/>
              <w:bottom w:val="nil"/>
              <w:right w:val="nil"/>
            </w:tcBorders>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0,8</w:t>
            </w:r>
          </w:p>
        </w:tc>
        <w:tc>
          <w:tcPr>
            <w:tcW w:w="1080" w:type="dxa"/>
            <w:tcBorders>
              <w:top w:val="nil"/>
              <w:left w:val="nil"/>
              <w:bottom w:val="nil"/>
              <w:right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0,6</w:t>
            </w:r>
          </w:p>
        </w:tc>
        <w:tc>
          <w:tcPr>
            <w:tcW w:w="1026" w:type="dxa"/>
            <w:tcBorders>
              <w:top w:val="nil"/>
              <w:left w:val="nil"/>
              <w:bottom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0,7</w:t>
            </w:r>
          </w:p>
        </w:tc>
      </w:tr>
      <w:tr w:rsidR="0048389D" w:rsidRPr="006D6955" w:rsidTr="00D80F6D">
        <w:trPr>
          <w:trHeight w:val="283"/>
          <w:jc w:val="center"/>
        </w:trPr>
        <w:tc>
          <w:tcPr>
            <w:tcW w:w="4071" w:type="dxa"/>
            <w:tcBorders>
              <w:top w:val="nil"/>
              <w:bottom w:val="nil"/>
              <w:right w:val="nil"/>
            </w:tcBorders>
            <w:shd w:val="clear" w:color="auto" w:fill="A6A6A6" w:themeFill="background1" w:themeFillShade="A6"/>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Απασχόληση*</w:t>
            </w:r>
          </w:p>
        </w:tc>
        <w:tc>
          <w:tcPr>
            <w:tcW w:w="1018"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1,7</w:t>
            </w:r>
          </w:p>
        </w:tc>
        <w:tc>
          <w:tcPr>
            <w:tcW w:w="1080" w:type="dxa"/>
            <w:tcBorders>
              <w:top w:val="nil"/>
              <w:left w:val="nil"/>
              <w:bottom w:val="nil"/>
              <w:right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2,0</w:t>
            </w:r>
          </w:p>
        </w:tc>
        <w:tc>
          <w:tcPr>
            <w:tcW w:w="1026" w:type="dxa"/>
            <w:tcBorders>
              <w:top w:val="nil"/>
              <w:left w:val="nil"/>
              <w:bottom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1,8</w:t>
            </w:r>
          </w:p>
        </w:tc>
      </w:tr>
      <w:tr w:rsidR="0048389D" w:rsidRPr="006D6955" w:rsidTr="00D80F6D">
        <w:trPr>
          <w:trHeight w:val="283"/>
          <w:jc w:val="center"/>
        </w:trPr>
        <w:tc>
          <w:tcPr>
            <w:tcW w:w="4071" w:type="dxa"/>
            <w:tcBorders>
              <w:top w:val="nil"/>
              <w:bottom w:val="nil"/>
              <w:right w:val="nil"/>
            </w:tcBorders>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Ποσοστό ανεργίας*</w:t>
            </w:r>
          </w:p>
        </w:tc>
        <w:tc>
          <w:tcPr>
            <w:tcW w:w="1018" w:type="dxa"/>
            <w:tcBorders>
              <w:top w:val="nil"/>
              <w:left w:val="nil"/>
              <w:bottom w:val="nil"/>
              <w:right w:val="nil"/>
            </w:tcBorders>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17,8</w:t>
            </w:r>
          </w:p>
        </w:tc>
        <w:tc>
          <w:tcPr>
            <w:tcW w:w="1080" w:type="dxa"/>
            <w:tcBorders>
              <w:top w:val="nil"/>
              <w:left w:val="nil"/>
              <w:bottom w:val="nil"/>
              <w:right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15,9</w:t>
            </w:r>
          </w:p>
        </w:tc>
        <w:tc>
          <w:tcPr>
            <w:tcW w:w="1026" w:type="dxa"/>
            <w:tcBorders>
              <w:top w:val="nil"/>
              <w:left w:val="nil"/>
              <w:bottom w:val="nil"/>
            </w:tcBorders>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14,0</w:t>
            </w:r>
          </w:p>
        </w:tc>
      </w:tr>
      <w:tr w:rsidR="0048389D" w:rsidRPr="006D6955" w:rsidTr="00D80F6D">
        <w:trPr>
          <w:trHeight w:val="283"/>
          <w:jc w:val="center"/>
        </w:trPr>
        <w:tc>
          <w:tcPr>
            <w:tcW w:w="4071" w:type="dxa"/>
            <w:tcBorders>
              <w:top w:val="nil"/>
              <w:bottom w:val="single" w:sz="4" w:space="0" w:color="auto"/>
              <w:right w:val="nil"/>
            </w:tcBorders>
            <w:shd w:val="clear" w:color="auto" w:fill="A6A6A6" w:themeFill="background1" w:themeFillShade="A6"/>
            <w:vAlign w:val="bottom"/>
          </w:tcPr>
          <w:p w:rsidR="0048389D" w:rsidRPr="00E545C6" w:rsidRDefault="0048389D" w:rsidP="00D80F6D">
            <w:pPr>
              <w:rPr>
                <w:rFonts w:ascii="Arial Narrow" w:hAnsi="Arial Narrow"/>
                <w:sz w:val="16"/>
                <w:szCs w:val="16"/>
              </w:rPr>
            </w:pPr>
            <w:r w:rsidRPr="00E545C6">
              <w:rPr>
                <w:rFonts w:ascii="Arial Narrow" w:hAnsi="Arial Narrow"/>
                <w:sz w:val="16"/>
                <w:szCs w:val="16"/>
              </w:rPr>
              <w:t>Ποσοστό ανεργίας (Έρευνα Εργατικού Δυναμικού)</w:t>
            </w:r>
          </w:p>
        </w:tc>
        <w:tc>
          <w:tcPr>
            <w:tcW w:w="1018" w:type="dxa"/>
            <w:tcBorders>
              <w:top w:val="nil"/>
              <w:left w:val="nil"/>
              <w:bottom w:val="single" w:sz="4" w:space="0" w:color="auto"/>
              <w:right w:val="nil"/>
            </w:tcBorders>
            <w:shd w:val="clear" w:color="auto" w:fill="A6A6A6" w:themeFill="background1" w:themeFillShade="A6"/>
            <w:vAlign w:val="bottom"/>
          </w:tcPr>
          <w:p w:rsidR="0048389D" w:rsidRPr="00E545C6" w:rsidRDefault="0048389D" w:rsidP="00B970E9">
            <w:pPr>
              <w:tabs>
                <w:tab w:val="decimal" w:pos="413"/>
              </w:tabs>
              <w:jc w:val="both"/>
              <w:rPr>
                <w:rFonts w:ascii="Arial Narrow" w:hAnsi="Arial Narrow"/>
                <w:sz w:val="16"/>
                <w:szCs w:val="16"/>
              </w:rPr>
            </w:pPr>
            <w:r w:rsidRPr="00E545C6">
              <w:rPr>
                <w:rFonts w:ascii="Arial Narrow" w:hAnsi="Arial Narrow"/>
                <w:sz w:val="16"/>
                <w:szCs w:val="16"/>
              </w:rPr>
              <w:t>19,3</w:t>
            </w:r>
          </w:p>
        </w:tc>
        <w:tc>
          <w:tcPr>
            <w:tcW w:w="1080" w:type="dxa"/>
            <w:tcBorders>
              <w:top w:val="nil"/>
              <w:left w:val="nil"/>
              <w:bottom w:val="single" w:sz="4" w:space="0" w:color="auto"/>
              <w:right w:val="nil"/>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17,4</w:t>
            </w:r>
          </w:p>
        </w:tc>
        <w:tc>
          <w:tcPr>
            <w:tcW w:w="1026" w:type="dxa"/>
            <w:tcBorders>
              <w:top w:val="nil"/>
              <w:left w:val="nil"/>
              <w:bottom w:val="single" w:sz="4" w:space="0" w:color="auto"/>
            </w:tcBorders>
            <w:shd w:val="clear" w:color="auto" w:fill="A6A6A6" w:themeFill="background1" w:themeFillShade="A6"/>
            <w:vAlign w:val="bottom"/>
          </w:tcPr>
          <w:p w:rsidR="0048389D" w:rsidRPr="00E545C6" w:rsidRDefault="0048389D" w:rsidP="00B970E9">
            <w:pPr>
              <w:tabs>
                <w:tab w:val="decimal" w:pos="381"/>
              </w:tabs>
              <w:jc w:val="both"/>
              <w:rPr>
                <w:rFonts w:ascii="Arial Narrow" w:hAnsi="Arial Narrow"/>
                <w:sz w:val="16"/>
                <w:szCs w:val="16"/>
              </w:rPr>
            </w:pPr>
            <w:r w:rsidRPr="00E545C6">
              <w:rPr>
                <w:rFonts w:ascii="Arial Narrow" w:hAnsi="Arial Narrow"/>
                <w:sz w:val="16"/>
                <w:szCs w:val="16"/>
              </w:rPr>
              <w:t>15,6</w:t>
            </w:r>
          </w:p>
        </w:tc>
      </w:tr>
    </w:tbl>
    <w:p w:rsidR="0048389D" w:rsidRPr="00E545C6" w:rsidRDefault="0048389D" w:rsidP="0048389D">
      <w:pPr>
        <w:ind w:firstLine="993"/>
        <w:jc w:val="both"/>
        <w:rPr>
          <w:rFonts w:ascii="Arial Narrow" w:hAnsi="Arial Narrow"/>
          <w:sz w:val="16"/>
          <w:szCs w:val="18"/>
        </w:rPr>
      </w:pPr>
      <w:r w:rsidRPr="00E545C6">
        <w:rPr>
          <w:rFonts w:ascii="Arial Narrow" w:hAnsi="Arial Narrow"/>
          <w:sz w:val="16"/>
          <w:szCs w:val="18"/>
        </w:rPr>
        <w:t>Πηγή: Ετήσιοι Εθνικοί Λογαριασμοί (Ελληνική Στατιστική Αρχή), εκτιμήσεις/προβλέψεις Υπουργείου</w:t>
      </w:r>
      <w:r>
        <w:rPr>
          <w:rFonts w:ascii="Arial Narrow" w:hAnsi="Arial Narrow"/>
          <w:sz w:val="16"/>
          <w:szCs w:val="18"/>
        </w:rPr>
        <w:t xml:space="preserve"> </w:t>
      </w:r>
      <w:r w:rsidRPr="00E545C6">
        <w:rPr>
          <w:rFonts w:ascii="Arial Narrow" w:hAnsi="Arial Narrow"/>
          <w:sz w:val="16"/>
          <w:szCs w:val="18"/>
        </w:rPr>
        <w:t>Οικονομικών</w:t>
      </w:r>
      <w:r>
        <w:rPr>
          <w:rFonts w:ascii="Arial Narrow" w:hAnsi="Arial Narrow"/>
          <w:sz w:val="16"/>
          <w:szCs w:val="18"/>
        </w:rPr>
        <w:t>.</w:t>
      </w:r>
    </w:p>
    <w:p w:rsidR="0048389D" w:rsidRPr="00E545C6" w:rsidRDefault="0048389D" w:rsidP="0048389D">
      <w:pPr>
        <w:ind w:firstLine="993"/>
        <w:jc w:val="both"/>
        <w:rPr>
          <w:rFonts w:ascii="Arial Narrow" w:hAnsi="Arial Narrow"/>
          <w:sz w:val="16"/>
          <w:szCs w:val="18"/>
        </w:rPr>
      </w:pPr>
      <w:r w:rsidRPr="00E545C6">
        <w:rPr>
          <w:rFonts w:ascii="Arial Narrow" w:hAnsi="Arial Narrow"/>
          <w:sz w:val="16"/>
          <w:szCs w:val="18"/>
        </w:rPr>
        <w:t>*Σε εθνικολογιστική βάση</w:t>
      </w:r>
    </w:p>
    <w:p w:rsidR="0048389D" w:rsidRDefault="0048389D" w:rsidP="0048389D">
      <w:pPr>
        <w:ind w:firstLine="993"/>
        <w:jc w:val="both"/>
        <w:rPr>
          <w:rFonts w:ascii="Arial Narrow" w:hAnsi="Arial Narrow"/>
          <w:sz w:val="16"/>
          <w:szCs w:val="18"/>
        </w:rPr>
      </w:pPr>
      <w:r w:rsidRPr="00E545C6">
        <w:rPr>
          <w:rFonts w:ascii="Arial Narrow" w:hAnsi="Arial Narrow"/>
          <w:sz w:val="16"/>
          <w:szCs w:val="18"/>
        </w:rPr>
        <w:t>** Εκτιμήσεις/προβλέψεις</w:t>
      </w:r>
    </w:p>
    <w:p w:rsidR="0048389D" w:rsidRDefault="0048389D" w:rsidP="0048389D">
      <w:pPr>
        <w:ind w:left="993" w:right="848"/>
        <w:jc w:val="both"/>
        <w:rPr>
          <w:rFonts w:ascii="Arial Narrow" w:hAnsi="Arial Narrow"/>
          <w:sz w:val="16"/>
          <w:szCs w:val="18"/>
        </w:rPr>
      </w:pPr>
      <w:r>
        <w:rPr>
          <w:rFonts w:ascii="Arial Narrow" w:hAnsi="Arial Narrow"/>
          <w:sz w:val="16"/>
          <w:szCs w:val="18"/>
        </w:rPr>
        <w:t>Σημείωση</w:t>
      </w:r>
      <w:r w:rsidRPr="00316131">
        <w:rPr>
          <w:rFonts w:ascii="Arial Narrow" w:hAnsi="Arial Narrow"/>
          <w:sz w:val="16"/>
          <w:szCs w:val="18"/>
        </w:rPr>
        <w:t xml:space="preserve">: </w:t>
      </w:r>
      <w:r>
        <w:rPr>
          <w:rFonts w:ascii="Arial Narrow" w:hAnsi="Arial Narrow"/>
          <w:sz w:val="16"/>
          <w:szCs w:val="18"/>
        </w:rPr>
        <w:t>Στις προβλέψεις του 2020 έχουν ενσωματωθεί οι θετικές μακροοικονομικές επιδράσεις των παρεμβάσεων που εξειδικεύονται στο Κεφάλαιο 3.</w:t>
      </w:r>
    </w:p>
    <w:p w:rsidR="0048389D" w:rsidRPr="000D687E" w:rsidRDefault="0048389D" w:rsidP="0048389D">
      <w:pPr>
        <w:ind w:firstLine="993"/>
        <w:jc w:val="both"/>
        <w:rPr>
          <w:rFonts w:ascii="Arial Narrow" w:hAnsi="Arial Narrow"/>
          <w:sz w:val="18"/>
          <w:szCs w:val="18"/>
        </w:rPr>
      </w:pPr>
    </w:p>
    <w:p w:rsidR="0048389D" w:rsidRPr="00B95F29" w:rsidRDefault="0048389D" w:rsidP="0048389D">
      <w:pPr>
        <w:ind w:right="-1"/>
        <w:jc w:val="both"/>
        <w:rPr>
          <w:sz w:val="22"/>
        </w:rPr>
      </w:pPr>
      <w:r w:rsidRPr="00B95F29">
        <w:rPr>
          <w:sz w:val="22"/>
        </w:rPr>
        <w:t>Οι κίνδυνοι για την ευόδωση των εκτιμώμενων μακροοικονομικών προοπτικών συνδέονται σήμερα στη μεγαλύτερη έκτασή τους με το εξωτερικό περιβάλλον, όπου από το 2019 καταγράφονται δυσμ</w:t>
      </w:r>
      <w:r w:rsidRPr="00B95F29">
        <w:rPr>
          <w:sz w:val="22"/>
        </w:rPr>
        <w:t>ε</w:t>
      </w:r>
      <w:r w:rsidRPr="00B95F29">
        <w:rPr>
          <w:sz w:val="22"/>
        </w:rPr>
        <w:t xml:space="preserve">νείς εξελίξεις, ιδίως σε ό,τι αφορά τον ρυθμό ανάπτυξης σε επίπεδο Ευρωζώνης και την πορεία του παγκόσμιου εμπορίου. Παρά την κατ’ εκτίμηση περιορισμένη επίδραση των εν λόγω παραγόντων στην ελληνική οικονομία, λόγω της αναπτυσσόμενης εγχώριας δυναμικής και της χρονικής υστέρησης με την οποία επηρεάζεται από αυτούς η ελληνική οικονομία, μία </w:t>
      </w:r>
      <w:r w:rsidRPr="00B95F29">
        <w:rPr>
          <w:rStyle w:val="alt-edited"/>
          <w:sz w:val="22"/>
        </w:rPr>
        <w:t>ενδεχόμενη μεγαλύτερη αποδυν</w:t>
      </w:r>
      <w:r w:rsidRPr="00B95F29">
        <w:rPr>
          <w:rStyle w:val="alt-edited"/>
          <w:sz w:val="22"/>
        </w:rPr>
        <w:t>ά</w:t>
      </w:r>
      <w:r w:rsidRPr="00B95F29">
        <w:rPr>
          <w:rStyle w:val="alt-edited"/>
          <w:sz w:val="22"/>
        </w:rPr>
        <w:t>μωση των προοπτικών για την παγκόσμια οικονομία έναντι των (ήδη αναθεωρημένων προς τα κάτω) προβλέψεων, ή/και</w:t>
      </w:r>
      <w:r w:rsidRPr="00B95F29">
        <w:rPr>
          <w:sz w:val="22"/>
        </w:rPr>
        <w:t xml:space="preserve"> μία δυνητικά ισχυρότερη μετακύλιση των εξωγενών αυτών εξελίξεων στην εγχ</w:t>
      </w:r>
      <w:r w:rsidRPr="00B95F29">
        <w:rPr>
          <w:sz w:val="22"/>
        </w:rPr>
        <w:t>ώ</w:t>
      </w:r>
      <w:r w:rsidRPr="00B95F29">
        <w:rPr>
          <w:sz w:val="22"/>
        </w:rPr>
        <w:t>ρια αγορά, θα ήταν δυνατόν να επιφέρει απώλειες για τον ρυθμό επιτάχυνσης της ανάπτυξης στην Ε</w:t>
      </w:r>
      <w:r w:rsidRPr="00B95F29">
        <w:rPr>
          <w:sz w:val="22"/>
        </w:rPr>
        <w:t>λ</w:t>
      </w:r>
      <w:r w:rsidRPr="00B95F29">
        <w:rPr>
          <w:sz w:val="22"/>
        </w:rPr>
        <w:t xml:space="preserve">λάδα. </w:t>
      </w:r>
    </w:p>
    <w:p w:rsidR="0048389D" w:rsidRPr="00B95F29" w:rsidRDefault="0048389D" w:rsidP="0048389D">
      <w:pPr>
        <w:ind w:right="-1"/>
        <w:jc w:val="both"/>
        <w:rPr>
          <w:sz w:val="22"/>
        </w:rPr>
      </w:pPr>
    </w:p>
    <w:p w:rsidR="0048389D" w:rsidRPr="00B95F29" w:rsidRDefault="0048389D" w:rsidP="0048389D">
      <w:pPr>
        <w:ind w:right="-58"/>
        <w:jc w:val="both"/>
        <w:rPr>
          <w:rStyle w:val="alt-edited"/>
          <w:sz w:val="22"/>
        </w:rPr>
      </w:pPr>
      <w:r w:rsidRPr="00B95F29">
        <w:rPr>
          <w:sz w:val="22"/>
        </w:rPr>
        <w:t>Επιπρόσθετα εξωγενή ενδεχόμενα, η πραγματοποίηση των οποίων θα μπορούσε να μετριάσει την πρ</w:t>
      </w:r>
      <w:r w:rsidRPr="00B95F29">
        <w:rPr>
          <w:sz w:val="22"/>
        </w:rPr>
        <w:t>ο</w:t>
      </w:r>
      <w:r w:rsidRPr="00B95F29">
        <w:rPr>
          <w:sz w:val="22"/>
        </w:rPr>
        <w:t xml:space="preserve">βλεπόμενη ανάπτυξη του τρέχοντος μακροοικονομικού σεναρίου, περιλαμβάνουν </w:t>
      </w:r>
      <w:r w:rsidRPr="00B95F29">
        <w:rPr>
          <w:rStyle w:val="alt-edited"/>
          <w:sz w:val="22"/>
        </w:rPr>
        <w:t>τυχόν περαιτέρω κλιμάκωση των εμπορικών εντάσεων και του εμπορικού προστατευτισμού, δυσμενείς αλλαγές στις προτιμήσεις των επενδυτών για τον κίνδυνο, νέες παγκόσμιες γεωπολιτικές εντάσεις, μια νέα πυροδ</w:t>
      </w:r>
      <w:r w:rsidRPr="00B95F29">
        <w:rPr>
          <w:rStyle w:val="alt-edited"/>
          <w:sz w:val="22"/>
        </w:rPr>
        <w:t>ό</w:t>
      </w:r>
      <w:r w:rsidRPr="00B95F29">
        <w:rPr>
          <w:rStyle w:val="alt-edited"/>
          <w:sz w:val="22"/>
        </w:rPr>
        <w:t xml:space="preserve">τηση της προσφυγικής </w:t>
      </w:r>
      <w:r w:rsidR="003B55C3">
        <w:rPr>
          <w:rStyle w:val="alt-edited"/>
          <w:sz w:val="22"/>
        </w:rPr>
        <w:t>κρίσης, καθώς και τυχόν δυσμενή</w:t>
      </w:r>
      <w:r w:rsidRPr="00B95F29">
        <w:rPr>
          <w:rStyle w:val="alt-edited"/>
          <w:sz w:val="22"/>
        </w:rPr>
        <w:t xml:space="preserve"> έκβαση των διαπραγματεύσεων για την απ</w:t>
      </w:r>
      <w:r w:rsidRPr="00B95F29">
        <w:rPr>
          <w:rStyle w:val="alt-edited"/>
          <w:sz w:val="22"/>
        </w:rPr>
        <w:t>ο</w:t>
      </w:r>
      <w:r w:rsidRPr="00B95F29">
        <w:rPr>
          <w:rStyle w:val="alt-edited"/>
          <w:sz w:val="22"/>
        </w:rPr>
        <w:t>χώρηση του Ηνωμένου Βασιλείου από την Ευρωπαϊκή Ένωση.</w:t>
      </w:r>
    </w:p>
    <w:p w:rsidR="0048389D" w:rsidRPr="00B95F29" w:rsidRDefault="0048389D" w:rsidP="0048389D">
      <w:pPr>
        <w:ind w:right="-58"/>
        <w:jc w:val="both"/>
        <w:rPr>
          <w:rStyle w:val="alt-edited"/>
          <w:sz w:val="22"/>
        </w:rPr>
      </w:pPr>
    </w:p>
    <w:p w:rsidR="0048389D" w:rsidRPr="00B95F29" w:rsidRDefault="0048389D" w:rsidP="0048389D">
      <w:pPr>
        <w:ind w:right="-58"/>
        <w:jc w:val="both"/>
        <w:rPr>
          <w:sz w:val="22"/>
        </w:rPr>
      </w:pPr>
      <w:r w:rsidRPr="00B95F29">
        <w:rPr>
          <w:sz w:val="22"/>
        </w:rPr>
        <w:t xml:space="preserve">Πάντως, οι νέες, μόνιμες επεκτατικές δημοσιονομικές παρεμβάσεις στην ελληνική οικονομία, που </w:t>
      </w:r>
      <w:r w:rsidRPr="00B95F29">
        <w:rPr>
          <w:sz w:val="22"/>
        </w:rPr>
        <w:t>α</w:t>
      </w:r>
      <w:r w:rsidRPr="00B95F29">
        <w:rPr>
          <w:sz w:val="22"/>
        </w:rPr>
        <w:t xml:space="preserve">νακοινώθηκαν το καλοκαίρι του 2019, με την ώθηση που αναμένεται να δώσουν στην ανάπτυξη και σε συνδυασμό με τα σχέδια της κυβέρνησης για εξυγίανση των χαρτοφυλακίων των ελληνικών τραπεζών, δημιουργούν ευνοϊκότερο οικονομικό και επενδυτικό κλίμα που δρα ως ανάχωμα για τους εξωτερικούς κινδύνους της οικονομίας και τελικά καθιστά το συνολικό ισοζύγιο κινδύνων λιγότερο αρνητικό. </w:t>
      </w:r>
    </w:p>
    <w:bookmarkEnd w:id="0"/>
    <w:p w:rsidR="0048389D" w:rsidRPr="00B95F29" w:rsidRDefault="0048389D" w:rsidP="0048389D">
      <w:pPr>
        <w:jc w:val="both"/>
        <w:rPr>
          <w:rFonts w:ascii="Arial Narrow" w:hAnsi="Arial Narrow"/>
          <w:b/>
          <w:color w:val="000080"/>
          <w:sz w:val="20"/>
          <w:szCs w:val="22"/>
        </w:rPr>
      </w:pPr>
    </w:p>
    <w:sectPr w:rsidR="0048389D" w:rsidRPr="00B95F29" w:rsidSect="005379D1">
      <w:headerReference w:type="even" r:id="rId13"/>
      <w:headerReference w:type="default" r:id="rId14"/>
      <w:footerReference w:type="even" r:id="rId15"/>
      <w:footerReference w:type="default" r:id="rId16"/>
      <w:type w:val="continuous"/>
      <w:pgSz w:w="11906" w:h="16838" w:code="9"/>
      <w:pgMar w:top="1418" w:right="1247" w:bottom="1418" w:left="1588" w:header="709" w:footer="709"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B54" w:rsidRDefault="00EC3B54">
      <w:r>
        <w:separator/>
      </w:r>
    </w:p>
  </w:endnote>
  <w:endnote w:type="continuationSeparator" w:id="0">
    <w:p w:rsidR="00EC3B54" w:rsidRDefault="00EC3B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7B" w:rsidRPr="0057124C" w:rsidRDefault="00CF7243" w:rsidP="00F85CFF">
    <w:pPr>
      <w:pStyle w:val="a5"/>
      <w:jc w:val="both"/>
      <w:rPr>
        <w:color w:val="333333"/>
        <w:lang w:val="en-US"/>
      </w:rPr>
    </w:pPr>
    <w:r w:rsidRPr="00715F2C">
      <w:rPr>
        <w:rStyle w:val="a6"/>
        <w:b/>
        <w:sz w:val="28"/>
      </w:rPr>
      <w:fldChar w:fldCharType="begin"/>
    </w:r>
    <w:r w:rsidR="00D07D7B" w:rsidRPr="00715F2C">
      <w:rPr>
        <w:rStyle w:val="a6"/>
        <w:b/>
        <w:sz w:val="28"/>
      </w:rPr>
      <w:instrText xml:space="preserve"> PAGE </w:instrText>
    </w:r>
    <w:r w:rsidRPr="00715F2C">
      <w:rPr>
        <w:rStyle w:val="a6"/>
        <w:b/>
        <w:sz w:val="28"/>
      </w:rPr>
      <w:fldChar w:fldCharType="separate"/>
    </w:r>
    <w:r w:rsidR="00DF3EF8">
      <w:rPr>
        <w:rStyle w:val="a6"/>
        <w:b/>
        <w:noProof/>
        <w:sz w:val="28"/>
      </w:rPr>
      <w:t>34</w:t>
    </w:r>
    <w:r w:rsidRPr="00715F2C">
      <w:rPr>
        <w:rStyle w:val="a6"/>
        <w:b/>
        <w:sz w:val="28"/>
      </w:rPr>
      <w:fldChar w:fldCharType="end"/>
    </w:r>
    <w:r w:rsidR="00D07D7B">
      <w:rPr>
        <w:rStyle w:val="a6"/>
        <w:b/>
        <w:color w:val="000080"/>
        <w:sz w:val="28"/>
      </w:rPr>
      <w:t xml:space="preserve">  </w:t>
    </w:r>
    <w:r w:rsidR="00D07D7B" w:rsidRPr="008857CA">
      <w:rPr>
        <w:rFonts w:ascii="Arial Narrow" w:hAnsi="Arial Narrow"/>
        <w:color w:val="333333"/>
        <w:sz w:val="22"/>
      </w:rPr>
      <w:t xml:space="preserve">ΚΡΑΤΙΚΟΣ ΠΡΟΫΠΟΛΟΓΙΣΜΟΣ </w:t>
    </w:r>
    <w:r w:rsidR="00D07D7B">
      <w:rPr>
        <w:rFonts w:ascii="Arial Narrow" w:hAnsi="Arial Narrow"/>
        <w:color w:val="333333"/>
        <w:sz w:val="22"/>
        <w:lang w:val="en-US"/>
      </w:rPr>
      <w:t>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7B" w:rsidRPr="00D40E4A" w:rsidRDefault="00D07D7B" w:rsidP="00D40E4A">
    <w:pPr>
      <w:pStyle w:val="a5"/>
      <w:jc w:val="right"/>
      <w:rPr>
        <w:rFonts w:ascii="Arial Narrow" w:hAnsi="Arial Narrow"/>
        <w:sz w:val="22"/>
      </w:rPr>
    </w:pPr>
    <w:r w:rsidRPr="008857CA">
      <w:rPr>
        <w:rFonts w:ascii="Arial Narrow" w:hAnsi="Arial Narrow"/>
        <w:color w:val="333333"/>
        <w:sz w:val="22"/>
      </w:rPr>
      <w:t xml:space="preserve">ΚΡΑΤΙΚΟΣ ΠΡΟΫΠΟΛΟΓΙΣΜΟΣ </w:t>
    </w:r>
    <w:r>
      <w:rPr>
        <w:rFonts w:ascii="Arial Narrow" w:hAnsi="Arial Narrow"/>
        <w:color w:val="333333"/>
        <w:sz w:val="22"/>
        <w:lang w:val="en-US"/>
      </w:rPr>
      <w:t>2020</w:t>
    </w:r>
    <w:r>
      <w:rPr>
        <w:rFonts w:ascii="Arial Narrow" w:hAnsi="Arial Narrow"/>
        <w:color w:val="333333"/>
        <w:sz w:val="22"/>
      </w:rPr>
      <w:t xml:space="preserve">  </w:t>
    </w:r>
    <w:r w:rsidR="00CF7243" w:rsidRPr="00715F2C">
      <w:rPr>
        <w:rStyle w:val="a6"/>
        <w:b/>
        <w:sz w:val="28"/>
      </w:rPr>
      <w:fldChar w:fldCharType="begin"/>
    </w:r>
    <w:r w:rsidRPr="00715F2C">
      <w:rPr>
        <w:rStyle w:val="a6"/>
        <w:b/>
        <w:sz w:val="28"/>
      </w:rPr>
      <w:instrText xml:space="preserve"> PAGE </w:instrText>
    </w:r>
    <w:r w:rsidR="00CF7243" w:rsidRPr="00715F2C">
      <w:rPr>
        <w:rStyle w:val="a6"/>
        <w:b/>
        <w:sz w:val="28"/>
      </w:rPr>
      <w:fldChar w:fldCharType="separate"/>
    </w:r>
    <w:r w:rsidR="00DF3EF8">
      <w:rPr>
        <w:rStyle w:val="a6"/>
        <w:b/>
        <w:noProof/>
        <w:sz w:val="28"/>
      </w:rPr>
      <w:t>35</w:t>
    </w:r>
    <w:r w:rsidR="00CF7243" w:rsidRPr="00715F2C">
      <w:rPr>
        <w:rStyle w:val="a6"/>
        <w:b/>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B54" w:rsidRDefault="00EC3B54">
      <w:r>
        <w:separator/>
      </w:r>
    </w:p>
  </w:footnote>
  <w:footnote w:type="continuationSeparator" w:id="0">
    <w:p w:rsidR="00EC3B54" w:rsidRDefault="00EC3B54">
      <w:r>
        <w:continuationSeparator/>
      </w:r>
    </w:p>
  </w:footnote>
  <w:footnote w:id="1">
    <w:p w:rsidR="00D07D7B" w:rsidRPr="00AC50AA" w:rsidRDefault="00D07D7B" w:rsidP="00490C3E">
      <w:pPr>
        <w:pStyle w:val="a8"/>
        <w:tabs>
          <w:tab w:val="left" w:pos="142"/>
        </w:tabs>
        <w:ind w:left="142" w:hanging="142"/>
        <w:jc w:val="both"/>
        <w:rPr>
          <w:rFonts w:ascii="Arial Narrow" w:hAnsi="Arial Narrow"/>
          <w:sz w:val="18"/>
          <w:szCs w:val="18"/>
          <w:lang w:val="el-GR"/>
        </w:rPr>
      </w:pPr>
      <w:r w:rsidRPr="00AC50AA">
        <w:rPr>
          <w:rStyle w:val="a9"/>
          <w:rFonts w:ascii="Arial Narrow" w:hAnsi="Arial Narrow"/>
          <w:sz w:val="18"/>
          <w:szCs w:val="18"/>
        </w:rPr>
        <w:footnoteRef/>
      </w:r>
      <w:r w:rsidRPr="00AC50AA">
        <w:rPr>
          <w:rFonts w:ascii="Arial Narrow" w:hAnsi="Arial Narrow"/>
          <w:sz w:val="18"/>
          <w:szCs w:val="18"/>
          <w:lang w:val="el-GR"/>
        </w:rPr>
        <w:t xml:space="preserve"> </w:t>
      </w:r>
      <w:r w:rsidRPr="002B4535">
        <w:rPr>
          <w:rFonts w:ascii="Arial Narrow" w:hAnsi="Arial Narrow"/>
          <w:sz w:val="18"/>
          <w:szCs w:val="18"/>
          <w:lang w:val="el-GR"/>
        </w:rPr>
        <w:tab/>
      </w:r>
      <w:r w:rsidRPr="00AC50AA">
        <w:rPr>
          <w:rFonts w:ascii="Arial Narrow" w:hAnsi="Arial Narrow"/>
          <w:sz w:val="18"/>
          <w:szCs w:val="18"/>
          <w:lang w:val="el-GR"/>
        </w:rPr>
        <w:t>Φθινοπωρινές Οικονομικές Προβλέψεις Ευρωπαϊκής Επιτροπής, Νοέμβριος 2019.</w:t>
      </w:r>
    </w:p>
  </w:footnote>
  <w:footnote w:id="2">
    <w:p w:rsidR="00D07D7B" w:rsidRPr="00AC50AA" w:rsidRDefault="00D07D7B" w:rsidP="002B4535">
      <w:pPr>
        <w:pStyle w:val="a8"/>
        <w:tabs>
          <w:tab w:val="left" w:pos="142"/>
        </w:tabs>
        <w:ind w:left="142" w:hanging="142"/>
        <w:jc w:val="both"/>
        <w:rPr>
          <w:rFonts w:ascii="Arial Narrow" w:hAnsi="Arial Narrow"/>
          <w:sz w:val="18"/>
          <w:szCs w:val="18"/>
          <w:lang w:val="el-GR"/>
        </w:rPr>
      </w:pPr>
      <w:r w:rsidRPr="00AC50AA">
        <w:rPr>
          <w:rStyle w:val="a9"/>
          <w:rFonts w:ascii="Arial Narrow" w:hAnsi="Arial Narrow"/>
          <w:sz w:val="18"/>
          <w:szCs w:val="18"/>
        </w:rPr>
        <w:footnoteRef/>
      </w:r>
      <w:r w:rsidRPr="00AC50AA">
        <w:rPr>
          <w:rFonts w:ascii="Arial Narrow" w:hAnsi="Arial Narrow"/>
          <w:sz w:val="18"/>
          <w:szCs w:val="18"/>
          <w:lang w:val="el-GR"/>
        </w:rPr>
        <w:t xml:space="preserve"> </w:t>
      </w:r>
      <w:r w:rsidRPr="002B4535">
        <w:rPr>
          <w:rFonts w:ascii="Arial Narrow" w:hAnsi="Arial Narrow"/>
          <w:sz w:val="18"/>
          <w:szCs w:val="18"/>
          <w:lang w:val="el-GR"/>
        </w:rPr>
        <w:tab/>
      </w:r>
      <w:r w:rsidRPr="00AC50AA">
        <w:rPr>
          <w:rFonts w:ascii="Arial Narrow" w:hAnsi="Arial Narrow"/>
          <w:sz w:val="18"/>
          <w:szCs w:val="18"/>
          <w:lang w:val="el-GR"/>
        </w:rPr>
        <w:t>Ο ρυθμός μεταβολής του παγκόσμιου ΑΕΠ (εκτός ζώνης ευρώ), σύμφωνα με την έκθεση του Σεπτεμβρίου 2019 της ΕΚΤ, εκτιμάται σε 3,1% για το 2019 και 3,4% για το 2020, από 3,3% και 3,6% σύμφωνα με την έκθεση Ιουνίου 2019 της ΕΚΤ.</w:t>
      </w:r>
    </w:p>
  </w:footnote>
  <w:footnote w:id="3">
    <w:p w:rsidR="00D07D7B" w:rsidRPr="00AC50AA" w:rsidRDefault="00D07D7B" w:rsidP="002B4535">
      <w:pPr>
        <w:pStyle w:val="a8"/>
        <w:tabs>
          <w:tab w:val="left" w:pos="142"/>
        </w:tabs>
        <w:ind w:left="142" w:hanging="142"/>
        <w:jc w:val="both"/>
        <w:rPr>
          <w:rFonts w:ascii="Arial Narrow" w:hAnsi="Arial Narrow"/>
          <w:sz w:val="18"/>
          <w:szCs w:val="18"/>
          <w:lang w:val="el-GR"/>
        </w:rPr>
      </w:pPr>
      <w:r w:rsidRPr="00AC50AA">
        <w:rPr>
          <w:rStyle w:val="a9"/>
          <w:rFonts w:ascii="Arial Narrow" w:hAnsi="Arial Narrow"/>
          <w:sz w:val="18"/>
          <w:szCs w:val="18"/>
        </w:rPr>
        <w:footnoteRef/>
      </w:r>
      <w:r w:rsidRPr="00AC50AA">
        <w:rPr>
          <w:rFonts w:ascii="Arial Narrow" w:hAnsi="Arial Narrow"/>
          <w:sz w:val="18"/>
          <w:szCs w:val="18"/>
          <w:lang w:val="el-GR"/>
        </w:rPr>
        <w:t xml:space="preserve"> </w:t>
      </w:r>
      <w:r w:rsidRPr="002B4535">
        <w:rPr>
          <w:rFonts w:ascii="Arial Narrow" w:hAnsi="Arial Narrow"/>
          <w:sz w:val="18"/>
          <w:szCs w:val="18"/>
          <w:lang w:val="el-GR"/>
        </w:rPr>
        <w:tab/>
      </w:r>
      <w:r w:rsidRPr="00AC50AA">
        <w:rPr>
          <w:rFonts w:ascii="Arial Narrow" w:hAnsi="Arial Narrow"/>
          <w:sz w:val="18"/>
          <w:szCs w:val="18"/>
          <w:lang w:val="el-GR"/>
        </w:rPr>
        <w:t>Ειδικότερα, λόγω του μεγάλου βαθμού ενσωμάτωσης της Ευρωζώνης στις Παγκόσμιες Αλυσίδες Αξίας (</w:t>
      </w:r>
      <w:r w:rsidRPr="00AC50AA">
        <w:rPr>
          <w:rFonts w:ascii="Arial Narrow" w:hAnsi="Arial Narrow"/>
          <w:sz w:val="18"/>
          <w:szCs w:val="18"/>
          <w:lang w:val="en-US"/>
        </w:rPr>
        <w:t>GVC</w:t>
      </w:r>
      <w:r w:rsidRPr="00AC50AA">
        <w:rPr>
          <w:rFonts w:ascii="Arial Narrow" w:hAnsi="Arial Narrow"/>
          <w:sz w:val="18"/>
          <w:szCs w:val="18"/>
          <w:lang w:val="el-GR"/>
        </w:rPr>
        <w:t>) με τους κύριους εμπορ</w:t>
      </w:r>
      <w:r w:rsidRPr="00AC50AA">
        <w:rPr>
          <w:rFonts w:ascii="Arial Narrow" w:hAnsi="Arial Narrow"/>
          <w:sz w:val="18"/>
          <w:szCs w:val="18"/>
          <w:lang w:val="el-GR"/>
        </w:rPr>
        <w:t>ι</w:t>
      </w:r>
      <w:r w:rsidRPr="00AC50AA">
        <w:rPr>
          <w:rFonts w:ascii="Arial Narrow" w:hAnsi="Arial Narrow"/>
          <w:sz w:val="18"/>
          <w:szCs w:val="18"/>
          <w:lang w:val="el-GR"/>
        </w:rPr>
        <w:t>κούς εταίρους της (ΗΠΑ, Κίνα, Ιαπωνία), οι επιβαλλόμενοι δασμοί έχουν μεγαλύτερη επίπτωση τόσο μέσω του κόστους των εισαγόμ</w:t>
      </w:r>
      <w:r w:rsidRPr="00AC50AA">
        <w:rPr>
          <w:rFonts w:ascii="Arial Narrow" w:hAnsi="Arial Narrow"/>
          <w:sz w:val="18"/>
          <w:szCs w:val="18"/>
          <w:lang w:val="el-GR"/>
        </w:rPr>
        <w:t>ε</w:t>
      </w:r>
      <w:r w:rsidRPr="00AC50AA">
        <w:rPr>
          <w:rFonts w:ascii="Arial Narrow" w:hAnsi="Arial Narrow"/>
          <w:sz w:val="18"/>
          <w:szCs w:val="18"/>
          <w:lang w:val="el-GR"/>
        </w:rPr>
        <w:t xml:space="preserve">νων εισροών ( </w:t>
      </w:r>
      <w:r w:rsidRPr="00AC50AA">
        <w:rPr>
          <w:rFonts w:ascii="Arial Narrow" w:hAnsi="Arial Narrow"/>
          <w:sz w:val="18"/>
          <w:szCs w:val="18"/>
          <w:lang w:val="en-US"/>
        </w:rPr>
        <w:t>upstream</w:t>
      </w:r>
      <w:r w:rsidRPr="00AC50AA">
        <w:rPr>
          <w:rFonts w:ascii="Arial Narrow" w:hAnsi="Arial Narrow"/>
          <w:sz w:val="18"/>
          <w:szCs w:val="18"/>
          <w:lang w:val="el-GR"/>
        </w:rPr>
        <w:t>) όσο και μέσω των επιπτώσεων στα εξαγόμενα προϊόντα (</w:t>
      </w:r>
      <w:r w:rsidRPr="00AC50AA">
        <w:rPr>
          <w:rFonts w:ascii="Arial Narrow" w:hAnsi="Arial Narrow"/>
          <w:sz w:val="18"/>
          <w:szCs w:val="18"/>
          <w:lang w:val="en-US"/>
        </w:rPr>
        <w:t>downstream</w:t>
      </w:r>
      <w:r w:rsidRPr="00AC50AA">
        <w:rPr>
          <w:rFonts w:ascii="Arial Narrow" w:hAnsi="Arial Narrow"/>
          <w:sz w:val="18"/>
          <w:szCs w:val="18"/>
          <w:lang w:val="el-GR"/>
        </w:rPr>
        <w:t>).</w:t>
      </w:r>
    </w:p>
  </w:footnote>
  <w:footnote w:id="4">
    <w:p w:rsidR="00D07D7B" w:rsidRPr="008200C6" w:rsidRDefault="00D07D7B" w:rsidP="002B4535">
      <w:pPr>
        <w:pStyle w:val="a8"/>
        <w:tabs>
          <w:tab w:val="left" w:pos="142"/>
        </w:tabs>
        <w:ind w:left="142" w:hanging="142"/>
        <w:jc w:val="both"/>
        <w:rPr>
          <w:rStyle w:val="a9"/>
          <w:rFonts w:ascii="Arial Narrow" w:hAnsi="Arial Narrow"/>
          <w:sz w:val="18"/>
          <w:szCs w:val="18"/>
          <w:lang w:val="el-GR"/>
        </w:rPr>
      </w:pPr>
      <w:r w:rsidRPr="00DA1881">
        <w:rPr>
          <w:rStyle w:val="a9"/>
          <w:rFonts w:ascii="Arial Narrow" w:hAnsi="Arial Narrow"/>
          <w:sz w:val="18"/>
          <w:szCs w:val="18"/>
        </w:rPr>
        <w:footnoteRef/>
      </w:r>
      <w:r w:rsidRPr="008200C6">
        <w:rPr>
          <w:rStyle w:val="a9"/>
          <w:rFonts w:ascii="Arial Narrow" w:hAnsi="Arial Narrow"/>
          <w:sz w:val="18"/>
          <w:szCs w:val="18"/>
          <w:lang w:val="el-GR"/>
        </w:rPr>
        <w:t xml:space="preserve"> </w:t>
      </w:r>
      <w:r>
        <w:rPr>
          <w:rFonts w:ascii="Arial Narrow" w:hAnsi="Arial Narrow"/>
          <w:sz w:val="18"/>
          <w:szCs w:val="18"/>
          <w:lang w:val="el-GR"/>
        </w:rPr>
        <w:tab/>
        <w:t>«Μακροοικονομικές προβολές εμπειρογνωμόνων της ΕΚΤ για τη ζώνη του ευρώ» Ευρωπαϊκή Κεντρική Τράπεζα, Σεπτέμβριος 2019.</w:t>
      </w:r>
      <w:r w:rsidRPr="008200C6">
        <w:rPr>
          <w:rStyle w:val="a9"/>
          <w:rFonts w:ascii="Arial Narrow" w:hAnsi="Arial Narrow"/>
          <w:sz w:val="18"/>
          <w:szCs w:val="18"/>
          <w:lang w:val="el-GR"/>
        </w:rPr>
        <w:t>.</w:t>
      </w:r>
    </w:p>
  </w:footnote>
  <w:footnote w:id="5">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w:t>
      </w:r>
      <w:r>
        <w:rPr>
          <w:rFonts w:ascii="Arial Narrow" w:hAnsi="Arial Narrow"/>
          <w:sz w:val="18"/>
          <w:szCs w:val="18"/>
          <w:lang w:val="el-GR"/>
        </w:rPr>
        <w:tab/>
      </w:r>
      <w:r w:rsidRPr="00B970E9">
        <w:rPr>
          <w:rFonts w:ascii="Arial Narrow" w:hAnsi="Arial Narrow"/>
          <w:sz w:val="18"/>
          <w:szCs w:val="18"/>
          <w:lang w:val="el-GR"/>
        </w:rPr>
        <w:t>Το επιτόκιο στις πράξεις κύριας αναχρηματοδότησής του και το επιτόκιο στην πάγια διευκόλυνση οριακής αναχρηματοδότησης παρ</w:t>
      </w:r>
      <w:r w:rsidRPr="00B970E9">
        <w:rPr>
          <w:rFonts w:ascii="Arial Narrow" w:hAnsi="Arial Narrow"/>
          <w:sz w:val="18"/>
          <w:szCs w:val="18"/>
          <w:lang w:val="el-GR"/>
        </w:rPr>
        <w:t>έ</w:t>
      </w:r>
      <w:r w:rsidRPr="00B970E9">
        <w:rPr>
          <w:rFonts w:ascii="Arial Narrow" w:hAnsi="Arial Narrow"/>
          <w:sz w:val="18"/>
          <w:szCs w:val="18"/>
          <w:lang w:val="el-GR"/>
        </w:rPr>
        <w:t xml:space="preserve">μειναν </w:t>
      </w:r>
      <w:r>
        <w:rPr>
          <w:rFonts w:ascii="Arial Narrow" w:hAnsi="Arial Narrow"/>
          <w:sz w:val="18"/>
          <w:szCs w:val="18"/>
          <w:lang w:val="el-GR"/>
        </w:rPr>
        <w:t xml:space="preserve">στο </w:t>
      </w:r>
      <w:r w:rsidRPr="00B970E9">
        <w:rPr>
          <w:rFonts w:ascii="Arial Narrow" w:hAnsi="Arial Narrow"/>
          <w:sz w:val="18"/>
          <w:szCs w:val="18"/>
          <w:lang w:val="el-GR"/>
        </w:rPr>
        <w:t>0% και 0,25% αντίστοιχα, δηλαδή στα επίπεδα στα οποία έχουν διαμορφωθεί από το Μάρτιο του 2016.</w:t>
      </w:r>
    </w:p>
  </w:footnote>
  <w:footnote w:id="6">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w:t>
      </w:r>
      <w:r>
        <w:rPr>
          <w:rFonts w:ascii="Arial Narrow" w:hAnsi="Arial Narrow"/>
          <w:sz w:val="18"/>
          <w:szCs w:val="18"/>
          <w:lang w:val="el-GR"/>
        </w:rPr>
        <w:tab/>
      </w:r>
      <w:r w:rsidRPr="00B970E9">
        <w:rPr>
          <w:rFonts w:ascii="Arial Narrow" w:hAnsi="Arial Narrow"/>
          <w:sz w:val="18"/>
          <w:szCs w:val="18"/>
          <w:lang w:val="el-GR"/>
        </w:rPr>
        <w:t>Το πρόγραμμα αυτό περιλαμβάνει το πρόγραμμα αγοράς προϊόντων τιτλοποίησης, το πρόγραμμα αγοράς καλυμμένων ομολογιών, το πρόγραμμα αγοράς τίτλων δημόσιου τομέα και το πρόγραμμα αγοράς εταιρικών ομολόγων μη χρηματοπιστωτικών επιχειρήσεων.</w:t>
      </w:r>
    </w:p>
  </w:footnote>
  <w:footnote w:id="7">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w:t>
      </w:r>
      <w:r>
        <w:rPr>
          <w:rFonts w:ascii="Arial Narrow" w:hAnsi="Arial Narrow"/>
          <w:sz w:val="18"/>
          <w:szCs w:val="18"/>
          <w:lang w:val="el-GR"/>
        </w:rPr>
        <w:tab/>
      </w:r>
      <w:r w:rsidRPr="00B970E9">
        <w:rPr>
          <w:rFonts w:ascii="Arial Narrow" w:hAnsi="Arial Narrow"/>
          <w:sz w:val="18"/>
          <w:szCs w:val="18"/>
          <w:lang w:val="el-GR"/>
        </w:rPr>
        <w:t xml:space="preserve">Σε 1,2% του ΑΕΠ κατά μέσο όρο την περίοδο 2013-2018 έναντι 0,7% του ΑΕΠ την περίοδο 2008-2012 και 0,9% την περίοδο </w:t>
      </w:r>
      <w:r>
        <w:rPr>
          <w:rFonts w:ascii="Arial Narrow" w:hAnsi="Arial Narrow"/>
          <w:sz w:val="18"/>
          <w:szCs w:val="18"/>
          <w:lang w:val="el-GR"/>
        </w:rPr>
        <w:t xml:space="preserve">          </w:t>
      </w:r>
      <w:r w:rsidRPr="00B970E9">
        <w:rPr>
          <w:rFonts w:ascii="Arial Narrow" w:hAnsi="Arial Narrow"/>
          <w:sz w:val="18"/>
          <w:szCs w:val="18"/>
          <w:lang w:val="el-GR"/>
        </w:rPr>
        <w:t xml:space="preserve">2003-2007. </w:t>
      </w:r>
      <w:r>
        <w:rPr>
          <w:rFonts w:ascii="Arial Narrow" w:hAnsi="Arial Narrow"/>
          <w:sz w:val="18"/>
          <w:szCs w:val="18"/>
          <w:lang w:val="el-GR"/>
        </w:rPr>
        <w:t>(</w:t>
      </w:r>
      <w:r w:rsidRPr="00B970E9">
        <w:rPr>
          <w:rFonts w:ascii="Arial Narrow" w:hAnsi="Arial Narrow"/>
          <w:sz w:val="18"/>
          <w:szCs w:val="18"/>
          <w:lang w:val="el-GR"/>
        </w:rPr>
        <w:t xml:space="preserve">Πηγή: </w:t>
      </w:r>
      <w:r w:rsidRPr="00B970E9">
        <w:rPr>
          <w:rFonts w:ascii="Arial Narrow" w:hAnsi="Arial Narrow"/>
          <w:sz w:val="18"/>
          <w:szCs w:val="18"/>
          <w:lang w:val="en-US"/>
        </w:rPr>
        <w:t>Eurostat</w:t>
      </w:r>
      <w:r>
        <w:rPr>
          <w:rFonts w:ascii="Arial Narrow" w:hAnsi="Arial Narrow"/>
          <w:sz w:val="18"/>
          <w:szCs w:val="18"/>
          <w:lang w:val="el-GR"/>
        </w:rPr>
        <w:t xml:space="preserve"> ).</w:t>
      </w:r>
    </w:p>
  </w:footnote>
  <w:footnote w:id="8">
    <w:p w:rsidR="00D07D7B" w:rsidRPr="00B970E9" w:rsidRDefault="00D07D7B" w:rsidP="00B970E9">
      <w:pPr>
        <w:tabs>
          <w:tab w:val="left" w:pos="142"/>
        </w:tabs>
        <w:ind w:left="142" w:hanging="142"/>
        <w:jc w:val="both"/>
        <w:rPr>
          <w:rFonts w:ascii="Arial Narrow" w:hAnsi="Arial Narrow"/>
          <w:sz w:val="18"/>
          <w:szCs w:val="18"/>
        </w:rPr>
      </w:pPr>
      <w:r w:rsidRPr="00B970E9">
        <w:rPr>
          <w:rStyle w:val="a9"/>
          <w:rFonts w:ascii="Arial Narrow" w:hAnsi="Arial Narrow"/>
          <w:sz w:val="18"/>
          <w:szCs w:val="18"/>
        </w:rPr>
        <w:footnoteRef/>
      </w:r>
      <w:r w:rsidRPr="00B970E9">
        <w:rPr>
          <w:rFonts w:ascii="Arial Narrow" w:hAnsi="Arial Narrow"/>
          <w:sz w:val="18"/>
          <w:szCs w:val="18"/>
        </w:rPr>
        <w:t xml:space="preserve"> </w:t>
      </w:r>
      <w:r>
        <w:rPr>
          <w:rFonts w:ascii="Arial Narrow" w:hAnsi="Arial Narrow"/>
          <w:sz w:val="18"/>
          <w:szCs w:val="18"/>
        </w:rPr>
        <w:tab/>
      </w:r>
      <w:r w:rsidRPr="00B970E9">
        <w:rPr>
          <w:rFonts w:ascii="Arial Narrow" w:hAnsi="Arial Narrow"/>
          <w:sz w:val="18"/>
          <w:szCs w:val="18"/>
          <w:lang w:eastAsia="en-US"/>
        </w:rPr>
        <w:t>Για το ίδιο έτος, χαμηλές θέσεις καταγράφηκαν για την Ελλάδα στα επιμέρους κριτήρια του δείκτη σε ό,τι αφορά την επιβολή εκτέλεσης των συμβάσεων (132), την πρόσβαση σε δανεισμό (99) και σε ηλεκτρική ενέργεια (79), και σχετικά υψηλές θέσεις σε ό,τι αφορά το δ</w:t>
      </w:r>
      <w:r w:rsidRPr="00B970E9">
        <w:rPr>
          <w:rFonts w:ascii="Arial Narrow" w:hAnsi="Arial Narrow"/>
          <w:sz w:val="18"/>
          <w:szCs w:val="18"/>
          <w:lang w:eastAsia="en-US"/>
        </w:rPr>
        <w:t>ι</w:t>
      </w:r>
      <w:r w:rsidRPr="00B970E9">
        <w:rPr>
          <w:rFonts w:ascii="Arial Narrow" w:hAnsi="Arial Narrow"/>
          <w:sz w:val="18"/>
          <w:szCs w:val="18"/>
          <w:lang w:eastAsia="en-US"/>
        </w:rPr>
        <w:t>ασυνοριακό εμπόριο (31), τη διαδικασία έναρξης επιχείρησης (44), και την προστασία των μικροεπενδυτών (51).</w:t>
      </w:r>
    </w:p>
  </w:footnote>
  <w:footnote w:id="9">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w:t>
      </w:r>
      <w:r>
        <w:rPr>
          <w:rFonts w:ascii="Arial Narrow" w:hAnsi="Arial Narrow"/>
          <w:sz w:val="18"/>
          <w:szCs w:val="18"/>
          <w:lang w:val="el-GR"/>
        </w:rPr>
        <w:tab/>
      </w:r>
      <w:r w:rsidRPr="00B970E9">
        <w:rPr>
          <w:rFonts w:ascii="Arial Narrow" w:hAnsi="Arial Narrow"/>
          <w:sz w:val="18"/>
          <w:szCs w:val="18"/>
          <w:lang w:val="el-GR"/>
        </w:rPr>
        <w:t>Σε όρους θέσης κατάταξης για το 2020 μεταξύ των 190 χωρών, η Ελλάδα έχει εμφανώς βελτιωμένη θέση σε ό,τι αφορά τη διαδικασία έναρξης επιχείρησης (11) και την προστασία μικροεπενδυτών (37), με παράλληλη χειροτέρευση σε ό,τι αφορά την πρόσβαση σε δ</w:t>
      </w:r>
      <w:r w:rsidRPr="00B970E9">
        <w:rPr>
          <w:rFonts w:ascii="Arial Narrow" w:hAnsi="Arial Narrow"/>
          <w:sz w:val="18"/>
          <w:szCs w:val="18"/>
          <w:lang w:val="el-GR"/>
        </w:rPr>
        <w:t>α</w:t>
      </w:r>
      <w:r w:rsidRPr="00B970E9">
        <w:rPr>
          <w:rFonts w:ascii="Arial Narrow" w:hAnsi="Arial Narrow"/>
          <w:sz w:val="18"/>
          <w:szCs w:val="18"/>
          <w:lang w:val="el-GR"/>
        </w:rPr>
        <w:t xml:space="preserve">νεισμό (119), τη διαδικασία επίλυσης αφερεγγυότητας (72), την επιβολή εκτέλεσης συμβάσεων (146), και τη διαδικασία καταγραφής ακίνητης περιουσίας (156). </w:t>
      </w:r>
    </w:p>
  </w:footnote>
  <w:footnote w:id="10">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Από στασιμότητα ή μικρή πτώση χαρακτηρίζεται η βαθμολογία στα υπόλοιπα κριτήρια, μεταξύ των οποίων οι διαδικασίες επίλυσης αφερεγγυότητας και η αδειοδότηση κατασκευών. </w:t>
      </w:r>
    </w:p>
  </w:footnote>
  <w:footnote w:id="11">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59</w:t>
      </w:r>
      <w:r w:rsidRPr="00B970E9">
        <w:rPr>
          <w:rFonts w:ascii="Arial Narrow" w:hAnsi="Arial Narrow"/>
          <w:sz w:val="18"/>
          <w:szCs w:val="18"/>
          <w:vertAlign w:val="superscript"/>
          <w:lang w:val="el-GR"/>
        </w:rPr>
        <w:t>η</w:t>
      </w:r>
      <w:r w:rsidRPr="00B970E9">
        <w:rPr>
          <w:rFonts w:ascii="Arial Narrow" w:hAnsi="Arial Narrow"/>
          <w:sz w:val="18"/>
          <w:szCs w:val="18"/>
          <w:lang w:val="el-GR"/>
        </w:rPr>
        <w:t xml:space="preserve"> σε σύνολο 141 χωρών το 2019, έναντι 57</w:t>
      </w:r>
      <w:r w:rsidRPr="00B970E9">
        <w:rPr>
          <w:rFonts w:ascii="Arial Narrow" w:hAnsi="Arial Narrow"/>
          <w:sz w:val="18"/>
          <w:szCs w:val="18"/>
          <w:vertAlign w:val="superscript"/>
          <w:lang w:val="el-GR"/>
        </w:rPr>
        <w:t>ης</w:t>
      </w:r>
      <w:r w:rsidRPr="00B970E9">
        <w:rPr>
          <w:rFonts w:ascii="Arial Narrow" w:hAnsi="Arial Narrow"/>
          <w:sz w:val="18"/>
          <w:szCs w:val="18"/>
          <w:lang w:val="el-GR"/>
        </w:rPr>
        <w:t xml:space="preserve"> σε σύνολο 140 χωρών το 2018.</w:t>
      </w:r>
    </w:p>
  </w:footnote>
  <w:footnote w:id="12">
    <w:p w:rsidR="00D07D7B" w:rsidRPr="00B970E9" w:rsidRDefault="00D07D7B" w:rsidP="00B970E9">
      <w:pPr>
        <w:tabs>
          <w:tab w:val="left" w:pos="142"/>
        </w:tabs>
        <w:ind w:left="142" w:hanging="142"/>
        <w:jc w:val="both"/>
        <w:rPr>
          <w:rFonts w:ascii="Arial Narrow" w:hAnsi="Arial Narrow"/>
          <w:sz w:val="18"/>
          <w:szCs w:val="18"/>
        </w:rPr>
      </w:pPr>
      <w:r w:rsidRPr="00B970E9">
        <w:rPr>
          <w:rStyle w:val="a9"/>
          <w:rFonts w:ascii="Arial Narrow" w:hAnsi="Arial Narrow"/>
          <w:sz w:val="18"/>
          <w:szCs w:val="18"/>
        </w:rPr>
        <w:footnoteRef/>
      </w:r>
      <w:r w:rsidRPr="00B970E9">
        <w:rPr>
          <w:rFonts w:ascii="Arial Narrow" w:hAnsi="Arial Narrow"/>
          <w:sz w:val="18"/>
          <w:szCs w:val="18"/>
        </w:rPr>
        <w:t xml:space="preserve"> </w:t>
      </w:r>
      <w:r w:rsidRPr="00B970E9">
        <w:rPr>
          <w:rFonts w:ascii="Arial Narrow" w:hAnsi="Arial Narrow"/>
          <w:sz w:val="18"/>
          <w:szCs w:val="18"/>
          <w:lang w:eastAsia="en-US"/>
        </w:rPr>
        <w:t>Για το 2019</w:t>
      </w:r>
      <w:r w:rsidRPr="00B970E9">
        <w:rPr>
          <w:rFonts w:ascii="Arial Narrow" w:hAnsi="Arial Narrow"/>
          <w:sz w:val="18"/>
          <w:szCs w:val="18"/>
        </w:rPr>
        <w:t xml:space="preserve">, </w:t>
      </w:r>
      <w:r w:rsidRPr="00B970E9">
        <w:rPr>
          <w:rFonts w:ascii="Arial Narrow" w:hAnsi="Arial Narrow"/>
          <w:sz w:val="18"/>
          <w:szCs w:val="18"/>
          <w:lang w:eastAsia="en-US"/>
        </w:rPr>
        <w:t>αυτές αφορούν την αποδοτικότητα του δημόσιου τομέα, την κτηματογράφηση, την εταιρική διακυβέρνηση, τις υποδομές μεταφορών και αγαθών κοινής ωφελείας, την υιοθέτηση νέων τεχνολογιών, τη δυναμική του δημοσίου χρέους, τον εγχώριο ανταγων</w:t>
      </w:r>
      <w:r w:rsidRPr="00B970E9">
        <w:rPr>
          <w:rFonts w:ascii="Arial Narrow" w:hAnsi="Arial Narrow"/>
          <w:sz w:val="18"/>
          <w:szCs w:val="18"/>
          <w:lang w:eastAsia="en-US"/>
        </w:rPr>
        <w:t>ι</w:t>
      </w:r>
      <w:r w:rsidRPr="00B970E9">
        <w:rPr>
          <w:rFonts w:ascii="Arial Narrow" w:hAnsi="Arial Narrow"/>
          <w:sz w:val="18"/>
          <w:szCs w:val="18"/>
          <w:lang w:eastAsia="en-US"/>
        </w:rPr>
        <w:t>σμό έναντι στρεβλώσεων που προκαλούνται από τη φορολογία, τη δυναμική της επιχειρηματικότητας, της καινοτομίας και του μελλ</w:t>
      </w:r>
      <w:r w:rsidRPr="00B970E9">
        <w:rPr>
          <w:rFonts w:ascii="Arial Narrow" w:hAnsi="Arial Narrow"/>
          <w:sz w:val="18"/>
          <w:szCs w:val="18"/>
          <w:lang w:eastAsia="en-US"/>
        </w:rPr>
        <w:t>ο</w:t>
      </w:r>
      <w:r w:rsidRPr="00B970E9">
        <w:rPr>
          <w:rFonts w:ascii="Arial Narrow" w:hAnsi="Arial Narrow"/>
          <w:sz w:val="18"/>
          <w:szCs w:val="18"/>
          <w:lang w:eastAsia="en-US"/>
        </w:rPr>
        <w:t>ντικού εργατικού δυναμικού.</w:t>
      </w:r>
      <w:r w:rsidRPr="00B970E9">
        <w:rPr>
          <w:rFonts w:ascii="Arial Narrow" w:hAnsi="Arial Narrow"/>
          <w:sz w:val="18"/>
          <w:szCs w:val="18"/>
        </w:rPr>
        <w:t xml:space="preserve"> </w:t>
      </w:r>
    </w:p>
  </w:footnote>
  <w:footnote w:id="13">
    <w:p w:rsidR="00D07D7B" w:rsidRPr="00B970E9" w:rsidRDefault="00D07D7B" w:rsidP="00B970E9">
      <w:pPr>
        <w:tabs>
          <w:tab w:val="left" w:pos="142"/>
        </w:tabs>
        <w:ind w:left="142" w:hanging="142"/>
        <w:jc w:val="both"/>
        <w:rPr>
          <w:rFonts w:ascii="Arial Narrow" w:hAnsi="Arial Narrow"/>
          <w:sz w:val="18"/>
          <w:szCs w:val="18"/>
          <w:lang w:eastAsia="en-US"/>
        </w:rPr>
      </w:pPr>
      <w:r w:rsidRPr="00B970E9">
        <w:rPr>
          <w:rStyle w:val="a9"/>
          <w:rFonts w:ascii="Arial Narrow" w:hAnsi="Arial Narrow"/>
          <w:sz w:val="18"/>
          <w:szCs w:val="18"/>
        </w:rPr>
        <w:footnoteRef/>
      </w:r>
      <w:r w:rsidRPr="00B970E9">
        <w:rPr>
          <w:rFonts w:ascii="Arial Narrow" w:hAnsi="Arial Narrow"/>
          <w:sz w:val="18"/>
          <w:szCs w:val="18"/>
        </w:rPr>
        <w:t xml:space="preserve"> </w:t>
      </w:r>
      <w:r w:rsidRPr="00B970E9">
        <w:rPr>
          <w:rFonts w:ascii="Arial Narrow" w:hAnsi="Arial Narrow"/>
          <w:sz w:val="18"/>
          <w:szCs w:val="18"/>
          <w:lang w:eastAsia="en-US"/>
        </w:rPr>
        <w:t xml:space="preserve">Σε αυτή τη βάση, οι εν λόγω  πολιτικές αναμένεται να περιορίσουν σημαντικά την δυνητική επίδραση στην ελληνική οικονομία από την τρέχουσα επιβράδυνση του διεθνούς οικονομικού περιβάλλοντος. </w:t>
      </w:r>
    </w:p>
  </w:footnote>
  <w:footnote w:id="14">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Τον Σεπτέμβριο 2019 συντελέστηκε η πλήρης άρση των περιορισμών στην κίνηση κεφαλαίων.</w:t>
      </w:r>
    </w:p>
  </w:footnote>
  <w:footnote w:id="15">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Αναλυτικότερα μεταξύ των προβλεπόμενων μέτρων είναι η κατάργηση εμποδίων που επιβαρύνουν χρονικά και οικονομικά τις αδειοδ</w:t>
      </w:r>
      <w:r w:rsidRPr="00B970E9">
        <w:rPr>
          <w:rFonts w:ascii="Arial Narrow" w:hAnsi="Arial Narrow"/>
          <w:sz w:val="18"/>
          <w:szCs w:val="18"/>
          <w:lang w:val="el-GR"/>
        </w:rPr>
        <w:t>ο</w:t>
      </w:r>
      <w:r w:rsidRPr="00B970E9">
        <w:rPr>
          <w:rFonts w:ascii="Arial Narrow" w:hAnsi="Arial Narrow"/>
          <w:sz w:val="18"/>
          <w:szCs w:val="18"/>
          <w:lang w:val="el-GR"/>
        </w:rPr>
        <w:t>τικές διαδικασίες των μεταποιητικών δραστηριοτήτων, παροχή κινήτρων για την προσέλκυση στρατηγικών επενδύσεων (εγκατάσταση επιχειρήσεων σε επιχειρηματικά πάρκα), δημιουργία του Ενιαίου Ψηφιακού Χάρτη (ηλεκτρονική βάση με όλα τα κρίσιμα δεδομένα που συνδέονται με την άσκηση επενδυτικής ή κατασκευαστικής δραστηριότητας), επιτάχυνση της αξιολόγησης και της παρακολούθησης της υλοποίησης επενδυτικών σχεδίων, διευκόλυνση επενδύσεων σε ασύρματα δίκτυα νέας γενιάς, δικλίδες αποτροπής της αδήλωτης εργασίας και επιτάχυνση της δικαστικής διαδικασίας (θέσπιση των ηλεκτρονικών δικογράφων στη διοικητική δικαιοσύνη).</w:t>
      </w:r>
    </w:p>
  </w:footnote>
  <w:footnote w:id="16">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Το τρέχον φαινόμενο αρνητικών επιτοκίων</w:t>
      </w:r>
      <w:r w:rsidRPr="00B970E9">
        <w:rPr>
          <w:rStyle w:val="tlid-translation"/>
          <w:rFonts w:ascii="Arial Narrow" w:hAnsi="Arial Narrow"/>
          <w:sz w:val="18"/>
          <w:szCs w:val="18"/>
          <w:lang w:val="el-GR"/>
        </w:rPr>
        <w:t xml:space="preserve"> κυρίως στην Ευρωζώνη, εν μέσω της διευκολυντικής νομισματικής πολιτικής της ΕΚΤ, και η επαναλαμβανόμενη μείωση επιτοκίων από την Ομοσπονδιακή Τράπεζα των ΗΠΑ,</w:t>
      </w:r>
      <w:r w:rsidRPr="00B970E9">
        <w:rPr>
          <w:rStyle w:val="alt-edited"/>
          <w:rFonts w:ascii="Arial Narrow" w:hAnsi="Arial Narrow"/>
          <w:sz w:val="18"/>
          <w:szCs w:val="18"/>
          <w:lang w:val="el-GR"/>
        </w:rPr>
        <w:t xml:space="preserve"> έχουν οδηγήσει σε έλλειψη αποδόσεων στις διεθνείς αγορές, τροφοδοτώντας την τάση ανάληψης υψηλότερου κινδύνου από του</w:t>
      </w:r>
      <w:r>
        <w:rPr>
          <w:rStyle w:val="alt-edited"/>
          <w:rFonts w:ascii="Arial Narrow" w:hAnsi="Arial Narrow"/>
          <w:sz w:val="18"/>
          <w:szCs w:val="18"/>
          <w:lang w:val="el-GR"/>
        </w:rPr>
        <w:t>ς</w:t>
      </w:r>
      <w:r w:rsidRPr="00B970E9">
        <w:rPr>
          <w:rStyle w:val="alt-edited"/>
          <w:rFonts w:ascii="Arial Narrow" w:hAnsi="Arial Narrow"/>
          <w:sz w:val="18"/>
          <w:szCs w:val="18"/>
          <w:lang w:val="el-GR"/>
        </w:rPr>
        <w:t xml:space="preserve"> επενδυτές. </w:t>
      </w:r>
    </w:p>
  </w:footnote>
  <w:footnote w:id="17">
    <w:p w:rsidR="00D07D7B" w:rsidRPr="00B970E9" w:rsidRDefault="00D07D7B" w:rsidP="00B970E9">
      <w:pPr>
        <w:pStyle w:val="a8"/>
        <w:tabs>
          <w:tab w:val="left" w:pos="142"/>
        </w:tabs>
        <w:ind w:left="142" w:hanging="142"/>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w:t>
      </w:r>
      <w:r w:rsidRPr="00B970E9">
        <w:rPr>
          <w:rStyle w:val="st"/>
          <w:rFonts w:ascii="Arial Narrow" w:hAnsi="Arial Narrow"/>
          <w:sz w:val="18"/>
          <w:szCs w:val="18"/>
          <w:lang w:val="el-GR"/>
        </w:rPr>
        <w:t>Έκθεση του ΔΝΤ για τις Παγκόσμιες Οικονομικές Προοπτικές (</w:t>
      </w:r>
      <w:r w:rsidRPr="00B970E9">
        <w:rPr>
          <w:rStyle w:val="afe"/>
          <w:rFonts w:ascii="Arial Narrow" w:hAnsi="Arial Narrow"/>
          <w:sz w:val="18"/>
          <w:szCs w:val="18"/>
        </w:rPr>
        <w:t>World</w:t>
      </w:r>
      <w:r w:rsidRPr="00B970E9">
        <w:rPr>
          <w:rStyle w:val="afe"/>
          <w:rFonts w:ascii="Arial Narrow" w:hAnsi="Arial Narrow"/>
          <w:sz w:val="18"/>
          <w:szCs w:val="18"/>
          <w:lang w:val="el-GR"/>
        </w:rPr>
        <w:t xml:space="preserve"> </w:t>
      </w:r>
      <w:r w:rsidRPr="00B970E9">
        <w:rPr>
          <w:rStyle w:val="afe"/>
          <w:rFonts w:ascii="Arial Narrow" w:hAnsi="Arial Narrow"/>
          <w:sz w:val="18"/>
          <w:szCs w:val="18"/>
        </w:rPr>
        <w:t>Economic</w:t>
      </w:r>
      <w:r w:rsidRPr="00B970E9">
        <w:rPr>
          <w:rStyle w:val="afe"/>
          <w:rFonts w:ascii="Arial Narrow" w:hAnsi="Arial Narrow"/>
          <w:sz w:val="18"/>
          <w:szCs w:val="18"/>
          <w:lang w:val="el-GR"/>
        </w:rPr>
        <w:t xml:space="preserve"> </w:t>
      </w:r>
      <w:r w:rsidRPr="00B970E9">
        <w:rPr>
          <w:rStyle w:val="afe"/>
          <w:rFonts w:ascii="Arial Narrow" w:hAnsi="Arial Narrow"/>
          <w:sz w:val="18"/>
          <w:szCs w:val="18"/>
        </w:rPr>
        <w:t>Outlook</w:t>
      </w:r>
      <w:r w:rsidRPr="00B970E9">
        <w:rPr>
          <w:rStyle w:val="afe"/>
          <w:rFonts w:ascii="Arial Narrow" w:hAnsi="Arial Narrow"/>
          <w:sz w:val="18"/>
          <w:szCs w:val="18"/>
          <w:lang w:val="el-GR"/>
        </w:rPr>
        <w:t xml:space="preserve">), </w:t>
      </w:r>
      <w:r w:rsidRPr="00B970E9">
        <w:rPr>
          <w:rStyle w:val="afe"/>
          <w:rFonts w:ascii="Arial Narrow" w:hAnsi="Arial Narrow"/>
          <w:i w:val="0"/>
          <w:sz w:val="18"/>
          <w:szCs w:val="18"/>
          <w:lang w:val="el-GR"/>
        </w:rPr>
        <w:t>Οκτώβριος 2019.</w:t>
      </w:r>
    </w:p>
  </w:footnote>
  <w:footnote w:id="18">
    <w:p w:rsidR="00D07D7B" w:rsidRPr="00B970E9" w:rsidRDefault="00D07D7B" w:rsidP="00112EBE">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Η παρατεταμένη μακροχρόνια ανεργία μειώνει τις προοπτικές πρόσληψης των ατόμων αυτών, για μεγάλη περίοδο μετά το τέλος της ύφεσης.  </w:t>
      </w:r>
    </w:p>
  </w:footnote>
  <w:footnote w:id="19">
    <w:p w:rsidR="00D07D7B" w:rsidRPr="00E45B99" w:rsidRDefault="00D07D7B" w:rsidP="00112EBE">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Πηγή </w:t>
      </w:r>
      <w:r w:rsidRPr="00B970E9">
        <w:rPr>
          <w:rFonts w:ascii="Arial Narrow" w:hAnsi="Arial Narrow"/>
          <w:sz w:val="18"/>
          <w:szCs w:val="18"/>
          <w:lang w:val="en-US"/>
        </w:rPr>
        <w:t>Eurostat</w:t>
      </w:r>
      <w:r w:rsidRPr="00E45B99">
        <w:rPr>
          <w:rFonts w:ascii="Arial Narrow" w:hAnsi="Arial Narrow"/>
          <w:sz w:val="18"/>
          <w:szCs w:val="18"/>
          <w:lang w:val="el-GR"/>
        </w:rPr>
        <w:t>.</w:t>
      </w:r>
    </w:p>
  </w:footnote>
  <w:footnote w:id="20">
    <w:p w:rsidR="00D07D7B" w:rsidRPr="00B970E9" w:rsidRDefault="00D07D7B" w:rsidP="00112EBE">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Pr>
          <w:rFonts w:ascii="Arial Narrow" w:hAnsi="Arial Narrow"/>
          <w:sz w:val="18"/>
          <w:szCs w:val="18"/>
          <w:lang w:val="el-GR"/>
        </w:rPr>
        <w:tab/>
      </w:r>
      <w:r w:rsidRPr="00B970E9">
        <w:rPr>
          <w:rFonts w:ascii="Arial Narrow" w:hAnsi="Arial Narrow"/>
          <w:sz w:val="18"/>
          <w:szCs w:val="18"/>
          <w:lang w:val="el-GR"/>
        </w:rPr>
        <w:t xml:space="preserve">Αυτό το ποσοστό απασχόλησης του πληθυσμού ενσωματώνει τη σταδιακή βελτίωση από το 2014, έναντι του ιστορικού χαμηλού 52,9% το 2013.  </w:t>
      </w:r>
    </w:p>
  </w:footnote>
  <w:footnote w:id="21">
    <w:p w:rsidR="00D07D7B" w:rsidRPr="00B970E9" w:rsidRDefault="00D07D7B" w:rsidP="00112EBE">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Την περίοδο 2016-2018 η επίτευξη πρωτογενών πλεονασμάτων υπεράνω του συμφωνημένου στόχου ήταν σωρευτικά 6,26% του ΑΕΠ.</w:t>
      </w:r>
    </w:p>
  </w:footnote>
  <w:footnote w:id="22">
    <w:p w:rsidR="00D07D7B" w:rsidRPr="00B970E9" w:rsidRDefault="00D07D7B" w:rsidP="00B970E9">
      <w:pPr>
        <w:pStyle w:val="a8"/>
        <w:tabs>
          <w:tab w:val="left" w:pos="142"/>
        </w:tabs>
        <w:ind w:left="142" w:hanging="142"/>
        <w:jc w:val="both"/>
        <w:rPr>
          <w:rFonts w:ascii="Arial Narrow" w:hAnsi="Arial Narrow"/>
          <w:sz w:val="18"/>
          <w:szCs w:val="18"/>
          <w:lang w:val="el-GR"/>
        </w:rPr>
      </w:pPr>
      <w:r w:rsidRPr="00B970E9">
        <w:rPr>
          <w:rStyle w:val="a9"/>
          <w:rFonts w:ascii="Arial Narrow" w:hAnsi="Arial Narrow"/>
          <w:sz w:val="18"/>
          <w:szCs w:val="18"/>
        </w:rPr>
        <w:footnoteRef/>
      </w:r>
      <w:r w:rsidRPr="00B970E9">
        <w:rPr>
          <w:rFonts w:ascii="Arial Narrow" w:hAnsi="Arial Narrow"/>
          <w:sz w:val="18"/>
          <w:szCs w:val="18"/>
          <w:lang w:val="el-GR"/>
        </w:rPr>
        <w:t xml:space="preserve"> Στο πλαίσιο της ενισχυμένης εποπτείας, έχουν δημοσιευθεί τρεις εκθέσεις αξιολόγησης από την Ευρωπαϊκή Επιτροπή, τον Νοέμβριο του 2018, τον Φεβρουάριο/Απρίλιο του 2019 και τον Ιούνιο του 2019.</w:t>
      </w:r>
    </w:p>
  </w:footnote>
  <w:footnote w:id="23">
    <w:p w:rsidR="00D07D7B" w:rsidRPr="00E45B99" w:rsidRDefault="00D07D7B" w:rsidP="00112EBE">
      <w:pPr>
        <w:pStyle w:val="a8"/>
        <w:jc w:val="both"/>
        <w:rPr>
          <w:rFonts w:ascii="Arial Narrow" w:hAnsi="Arial Narrow"/>
          <w:sz w:val="18"/>
          <w:szCs w:val="18"/>
          <w:lang w:val="el-GR"/>
        </w:rPr>
      </w:pPr>
      <w:r w:rsidRPr="00112EBE">
        <w:rPr>
          <w:rStyle w:val="a9"/>
          <w:rFonts w:ascii="Arial Narrow" w:hAnsi="Arial Narrow"/>
          <w:sz w:val="18"/>
          <w:szCs w:val="18"/>
        </w:rPr>
        <w:footnoteRef/>
      </w:r>
      <w:r w:rsidRPr="00112EBE">
        <w:rPr>
          <w:rFonts w:ascii="Arial Narrow" w:hAnsi="Arial Narrow"/>
          <w:sz w:val="18"/>
          <w:szCs w:val="18"/>
          <w:lang w:val="el-GR"/>
        </w:rPr>
        <w:t xml:space="preserve"> Αρκετά κάτω από την Ισπανία και την Κύπρο, και εγγύτερα σε αυτούς της Πορτογαλίας</w:t>
      </w:r>
      <w:r w:rsidRPr="00E45B99">
        <w:rPr>
          <w:rFonts w:ascii="Arial Narrow" w:hAnsi="Arial Narrow"/>
          <w:sz w:val="18"/>
          <w:szCs w:val="18"/>
          <w:lang w:val="el-GR"/>
        </w:rPr>
        <w:t>.</w:t>
      </w:r>
    </w:p>
  </w:footnote>
  <w:footnote w:id="24">
    <w:p w:rsidR="00D07D7B" w:rsidRPr="00A9695E" w:rsidRDefault="00D07D7B" w:rsidP="00A9695E">
      <w:pPr>
        <w:pStyle w:val="a8"/>
        <w:tabs>
          <w:tab w:val="left" w:pos="142"/>
        </w:tabs>
        <w:ind w:left="142" w:hanging="142"/>
        <w:jc w:val="both"/>
        <w:rPr>
          <w:rFonts w:ascii="Arial Narrow" w:hAnsi="Arial Narrow"/>
          <w:sz w:val="18"/>
          <w:szCs w:val="18"/>
          <w:lang w:val="el-GR"/>
        </w:rPr>
      </w:pPr>
      <w:r w:rsidRPr="00A9695E">
        <w:rPr>
          <w:rStyle w:val="a9"/>
          <w:rFonts w:ascii="Arial Narrow" w:hAnsi="Arial Narrow"/>
          <w:sz w:val="18"/>
          <w:szCs w:val="18"/>
        </w:rPr>
        <w:footnoteRef/>
      </w:r>
      <w:r w:rsidRPr="00A9695E">
        <w:rPr>
          <w:rFonts w:ascii="Arial Narrow" w:hAnsi="Arial Narrow"/>
          <w:sz w:val="18"/>
          <w:szCs w:val="18"/>
          <w:lang w:val="el-GR"/>
        </w:rPr>
        <w:t xml:space="preserve"> Έκθεση Νομισματικής Πολιτικής 2018-2019, Τράπεζα της Ελλάδος (Ιούλιος 2019), πίνακας </w:t>
      </w:r>
      <w:r w:rsidRPr="00A9695E">
        <w:rPr>
          <w:rFonts w:ascii="Arial Narrow" w:hAnsi="Arial Narrow"/>
          <w:sz w:val="18"/>
          <w:szCs w:val="18"/>
          <w:lang w:val="en-US"/>
        </w:rPr>
        <w:t>IV</w:t>
      </w:r>
      <w:r w:rsidRPr="00A9695E">
        <w:rPr>
          <w:rFonts w:ascii="Arial Narrow" w:hAnsi="Arial Narrow"/>
          <w:sz w:val="18"/>
          <w:szCs w:val="18"/>
          <w:lang w:val="el-GR"/>
        </w:rPr>
        <w:t>.2, σελ. 68.</w:t>
      </w:r>
    </w:p>
  </w:footnote>
  <w:footnote w:id="25">
    <w:p w:rsidR="00D07D7B" w:rsidRPr="00A9695E" w:rsidRDefault="00D07D7B" w:rsidP="00A9695E">
      <w:pPr>
        <w:pStyle w:val="a8"/>
        <w:tabs>
          <w:tab w:val="left" w:pos="142"/>
        </w:tabs>
        <w:ind w:left="142" w:hanging="142"/>
        <w:jc w:val="both"/>
        <w:rPr>
          <w:rFonts w:ascii="Arial Narrow" w:hAnsi="Arial Narrow"/>
          <w:sz w:val="18"/>
          <w:szCs w:val="18"/>
          <w:lang w:val="el-GR"/>
        </w:rPr>
      </w:pPr>
      <w:r w:rsidRPr="00A9695E">
        <w:rPr>
          <w:rStyle w:val="a9"/>
          <w:rFonts w:ascii="Arial Narrow" w:hAnsi="Arial Narrow"/>
          <w:sz w:val="18"/>
          <w:szCs w:val="18"/>
        </w:rPr>
        <w:footnoteRef/>
      </w:r>
      <w:r w:rsidRPr="00A9695E">
        <w:rPr>
          <w:rFonts w:ascii="Arial Narrow" w:hAnsi="Arial Narrow"/>
          <w:sz w:val="18"/>
          <w:szCs w:val="18"/>
          <w:lang w:val="el-GR"/>
        </w:rPr>
        <w:t xml:space="preserve"> Λόγω αναβολής της δεύτερης κοινοποίησης Ετήσιων Εθνικών Λογαριασμών για το 2018 από την Ελληνική Στατιστική Αρχή (Οκτώβρ</w:t>
      </w:r>
      <w:r w:rsidRPr="00A9695E">
        <w:rPr>
          <w:rFonts w:ascii="Arial Narrow" w:hAnsi="Arial Narrow"/>
          <w:sz w:val="18"/>
          <w:szCs w:val="18"/>
          <w:lang w:val="el-GR"/>
        </w:rPr>
        <w:t>ι</w:t>
      </w:r>
      <w:r w:rsidRPr="00A9695E">
        <w:rPr>
          <w:rFonts w:ascii="Arial Narrow" w:hAnsi="Arial Narrow"/>
          <w:sz w:val="18"/>
          <w:szCs w:val="18"/>
          <w:lang w:val="el-GR"/>
        </w:rPr>
        <w:t xml:space="preserve">ος 2019), τα στοιχεία για το εν λόγω έτος αποτελούν ακόμα εκτιμήσεις και όχι προσωρινά αποτελέσματα. </w:t>
      </w:r>
    </w:p>
  </w:footnote>
  <w:footnote w:id="26">
    <w:p w:rsidR="00D07D7B" w:rsidRPr="00A9695E" w:rsidRDefault="00D07D7B" w:rsidP="00A9695E">
      <w:pPr>
        <w:pStyle w:val="a8"/>
        <w:tabs>
          <w:tab w:val="left" w:pos="142"/>
        </w:tabs>
        <w:ind w:left="142" w:hanging="142"/>
        <w:jc w:val="both"/>
        <w:rPr>
          <w:rFonts w:ascii="Arial Narrow" w:hAnsi="Arial Narrow"/>
          <w:sz w:val="18"/>
          <w:szCs w:val="18"/>
          <w:lang w:val="el-GR"/>
        </w:rPr>
      </w:pPr>
      <w:r w:rsidRPr="00A9695E">
        <w:rPr>
          <w:rStyle w:val="a9"/>
          <w:rFonts w:ascii="Arial Narrow" w:hAnsi="Arial Narrow"/>
          <w:sz w:val="18"/>
          <w:szCs w:val="18"/>
        </w:rPr>
        <w:footnoteRef/>
      </w:r>
      <w:r w:rsidRPr="00A9695E">
        <w:rPr>
          <w:rFonts w:ascii="Arial Narrow" w:hAnsi="Arial Narrow"/>
          <w:sz w:val="18"/>
          <w:szCs w:val="18"/>
          <w:lang w:val="el-GR"/>
        </w:rPr>
        <w:t xml:space="preserve"> Έκθεση Νομισματικής Πολιτικής 2018-2019, Τράπεζα της Ελλάδος (Ιούλιος 2019), πίνακας </w:t>
      </w:r>
      <w:r w:rsidRPr="00A9695E">
        <w:rPr>
          <w:rFonts w:ascii="Arial Narrow" w:hAnsi="Arial Narrow"/>
          <w:sz w:val="18"/>
          <w:szCs w:val="18"/>
          <w:lang w:val="en-US"/>
        </w:rPr>
        <w:t>IV</w:t>
      </w:r>
      <w:r w:rsidRPr="00A9695E">
        <w:rPr>
          <w:rFonts w:ascii="Arial Narrow" w:hAnsi="Arial Narrow"/>
          <w:sz w:val="18"/>
          <w:szCs w:val="18"/>
          <w:lang w:val="el-GR"/>
        </w:rPr>
        <w:t>.7, σελ. 84.</w:t>
      </w:r>
    </w:p>
  </w:footnote>
  <w:footnote w:id="27">
    <w:p w:rsidR="00D07D7B" w:rsidRPr="00B77342" w:rsidRDefault="00D07D7B" w:rsidP="00B77342">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Την περίοδο αυτή, ο δείκτης επιχειρηματικών προσδοκιών στο λιανικό εμπόριο αυξήθηκε στις 116,6 μονάδες βάσης, από 97,8 μονάδες στο δεύτερο τρίμηνο 2019. Αντίστοιχα, ο δείκτης εμπιστοσύνης καταναλωτών βελτιώθηκε στις -10,9 μονάδες βάσης από -29,4 μονάδες στο δεύτερο τρίμηνο 2019. </w:t>
      </w:r>
    </w:p>
  </w:footnote>
  <w:footnote w:id="28">
    <w:p w:rsidR="00D07D7B" w:rsidRPr="00B77342" w:rsidRDefault="00D07D7B" w:rsidP="00B77342">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Pr>
          <w:rFonts w:ascii="Arial Narrow" w:hAnsi="Arial Narrow"/>
          <w:sz w:val="18"/>
          <w:szCs w:val="18"/>
          <w:lang w:val="el-GR"/>
        </w:rPr>
        <w:tab/>
      </w:r>
      <w:r w:rsidRPr="00B77342">
        <w:rPr>
          <w:rFonts w:ascii="Arial Narrow" w:hAnsi="Arial Narrow"/>
          <w:sz w:val="18"/>
          <w:szCs w:val="18"/>
          <w:lang w:val="el-GR"/>
        </w:rPr>
        <w:t>Οι αντίστοιχες ανακοινώσεις τριμηνιαίων στοιχείων από την Ελληνική Στατιστική Αρχή έλαβαν χώρα τον Ιούνιο και τον Σεπτέμβριο του 2019.</w:t>
      </w:r>
    </w:p>
  </w:footnote>
  <w:footnote w:id="29">
    <w:p w:rsidR="00D07D7B" w:rsidRPr="00B77342" w:rsidRDefault="00D07D7B" w:rsidP="00B77342">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Έκθεση Νομισματικής Πολιτικής 2018-2019,  Τράπεζα της Ελλάδος (Ιούλιος 2019), πίνακας </w:t>
      </w:r>
      <w:r w:rsidRPr="00B77342">
        <w:rPr>
          <w:rFonts w:ascii="Arial Narrow" w:hAnsi="Arial Narrow"/>
          <w:sz w:val="18"/>
          <w:szCs w:val="18"/>
          <w:lang w:val="en-US"/>
        </w:rPr>
        <w:t>IV</w:t>
      </w:r>
      <w:r w:rsidRPr="00B77342">
        <w:rPr>
          <w:rFonts w:ascii="Arial Narrow" w:hAnsi="Arial Narrow"/>
          <w:sz w:val="18"/>
          <w:szCs w:val="18"/>
          <w:lang w:val="el-GR"/>
        </w:rPr>
        <w:t>.7, σελ. 84.</w:t>
      </w:r>
    </w:p>
  </w:footnote>
  <w:footnote w:id="30">
    <w:p w:rsidR="00D07D7B" w:rsidRPr="00B77342" w:rsidRDefault="00D07D7B" w:rsidP="00B77342">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Όπως προκύπτει από τα αποτελέσματα διανυσματικών αυτοπαλίνδρομων υποδειγμάτων (</w:t>
      </w:r>
      <w:r w:rsidRPr="00B77342">
        <w:rPr>
          <w:rFonts w:ascii="Arial Narrow" w:hAnsi="Arial Narrow"/>
          <w:sz w:val="18"/>
          <w:szCs w:val="18"/>
          <w:lang w:val="en-US"/>
        </w:rPr>
        <w:t>VAR</w:t>
      </w:r>
      <w:r w:rsidRPr="00B77342">
        <w:rPr>
          <w:rFonts w:ascii="Arial Narrow" w:hAnsi="Arial Narrow"/>
          <w:sz w:val="18"/>
          <w:szCs w:val="18"/>
          <w:lang w:val="el-GR"/>
        </w:rPr>
        <w:t>).</w:t>
      </w:r>
    </w:p>
  </w:footnote>
  <w:footnote w:id="31">
    <w:p w:rsidR="00D07D7B" w:rsidRPr="00B77342" w:rsidRDefault="00D07D7B" w:rsidP="00B77342">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14,0% για την περίοδο Ιανουαρίου – Σεπτεμβρίου 2019.</w:t>
      </w:r>
    </w:p>
  </w:footnote>
  <w:footnote w:id="32">
    <w:p w:rsidR="00D07D7B" w:rsidRPr="00B77342" w:rsidRDefault="00D07D7B" w:rsidP="00B77342">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Την περίοδο Ιανουαρίου-Σεπτεμβρίου 2019, η ετήσια αύξηση των καθαρών εισπράξεων στο σύνολο των μεταφορικών υπηρεσιών ήταν 10,5%, εν μέσω αύξησης καθαρών εισπράξεων στη ναυτιλία κατά 10,9% στο πρώτο εξάμηνο του έτους (τελευταία διαθέσιμα στοιχεία). </w:t>
      </w:r>
    </w:p>
  </w:footnote>
  <w:footnote w:id="33">
    <w:p w:rsidR="00D07D7B" w:rsidRPr="00B77342" w:rsidRDefault="00D07D7B" w:rsidP="00B77342">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Την περίοδο Ιανουαρίου-Σεπτεμβρίου 2019, η ετήσια αύξηση των καθαρών ταξιδιωτικών εισπράξεων ήταν 12,2%. </w:t>
      </w:r>
    </w:p>
  </w:footnote>
  <w:footnote w:id="34">
    <w:p w:rsidR="00D07D7B" w:rsidRPr="00B77342" w:rsidRDefault="00D07D7B" w:rsidP="009557E0">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Τον Οκτώβριο του 2019, ο Εν. ΔΤΚ σημείωσε μείωση έναντι του αντίστοιχου μήνα του 2018 (-0,3%), για πρώτη φορά από τον Νοέμβριο του 2016, εν μέσω αρνητικών μεταβολών στις ομάδες αγαθών και υπηρεσιών (α) ειδών διατροφής, (β) διαρκών αγαθών και (γ) στέγ</w:t>
      </w:r>
      <w:r w:rsidRPr="00B77342">
        <w:rPr>
          <w:rFonts w:ascii="Arial Narrow" w:hAnsi="Arial Narrow"/>
          <w:sz w:val="18"/>
          <w:szCs w:val="18"/>
          <w:lang w:val="el-GR"/>
        </w:rPr>
        <w:t>α</w:t>
      </w:r>
      <w:r w:rsidRPr="00B77342">
        <w:rPr>
          <w:rFonts w:ascii="Arial Narrow" w:hAnsi="Arial Narrow"/>
          <w:sz w:val="18"/>
          <w:szCs w:val="18"/>
          <w:lang w:val="el-GR"/>
        </w:rPr>
        <w:t>σης.</w:t>
      </w:r>
    </w:p>
  </w:footnote>
  <w:footnote w:id="35">
    <w:p w:rsidR="00D07D7B" w:rsidRPr="00B77342" w:rsidRDefault="00D07D7B" w:rsidP="009557E0">
      <w:pPr>
        <w:pStyle w:val="a8"/>
        <w:tabs>
          <w:tab w:val="left" w:pos="142"/>
          <w:tab w:val="left" w:pos="284"/>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Έναντι εκτίμησης για μικρή επιβράδυνση της συνολικής απασχόλησης στο Πρόγραμμα Σταθερότητας 2019 (1,6% από 1,7% το 2018). </w:t>
      </w:r>
    </w:p>
  </w:footnote>
  <w:footnote w:id="36">
    <w:p w:rsidR="00D07D7B" w:rsidRPr="00B77342" w:rsidRDefault="00D07D7B" w:rsidP="009557E0">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Βάσει των μηνιαίων στοιχείων Έρευνας Εργατικού Δυναμικού (Ελληνική Στατιστική Αρχή), την περίοδο Ιανουαρίου – Αυγούστου 2019 η ανεργία ανήλθε κατά μέσο όρο στο 17,6% του εργατικού δυναμικού, μειωμένη κατά 2,1 ποσοστιαίες μονάδες έναντι του αντίστοιχου ποσοστού του πρώτου οκταμήνου του 2018.</w:t>
      </w:r>
    </w:p>
  </w:footnote>
  <w:footnote w:id="37">
    <w:p w:rsidR="00D07D7B" w:rsidRPr="00B77342" w:rsidRDefault="00D07D7B" w:rsidP="009557E0">
      <w:pPr>
        <w:pStyle w:val="a8"/>
        <w:tabs>
          <w:tab w:val="left" w:pos="142"/>
        </w:tabs>
        <w:ind w:left="142" w:hanging="142"/>
        <w:jc w:val="both"/>
        <w:rPr>
          <w:rFonts w:ascii="Arial Narrow" w:hAnsi="Arial Narrow"/>
          <w:sz w:val="18"/>
          <w:szCs w:val="18"/>
          <w:lang w:val="el-GR"/>
        </w:rPr>
      </w:pPr>
      <w:r w:rsidRPr="00B77342">
        <w:rPr>
          <w:rStyle w:val="a9"/>
          <w:rFonts w:ascii="Arial Narrow" w:hAnsi="Arial Narrow"/>
          <w:sz w:val="18"/>
          <w:szCs w:val="18"/>
        </w:rPr>
        <w:footnoteRef/>
      </w:r>
      <w:r w:rsidRPr="00B77342">
        <w:rPr>
          <w:rFonts w:ascii="Arial Narrow" w:hAnsi="Arial Narrow"/>
          <w:sz w:val="18"/>
          <w:szCs w:val="18"/>
          <w:lang w:val="el-GR"/>
        </w:rPr>
        <w:t xml:space="preserve"> Τελευταία διαθέσιμα στοιχεία Τριμηνιαίας Έρευνας Εργατικού Δυναμικού (Ελληνική Στατιστική Αρχή).</w:t>
      </w:r>
    </w:p>
  </w:footnote>
  <w:footnote w:id="38">
    <w:p w:rsidR="00D07D7B" w:rsidRPr="00044E0E" w:rsidRDefault="00D07D7B" w:rsidP="00044E0E">
      <w:pPr>
        <w:pStyle w:val="a8"/>
        <w:jc w:val="both"/>
        <w:rPr>
          <w:rFonts w:ascii="Arial Narrow" w:hAnsi="Arial Narrow"/>
          <w:sz w:val="18"/>
          <w:szCs w:val="18"/>
          <w:lang w:val="el-GR"/>
        </w:rPr>
      </w:pPr>
      <w:r w:rsidRPr="00044E0E">
        <w:rPr>
          <w:rStyle w:val="a9"/>
          <w:rFonts w:ascii="Arial Narrow" w:hAnsi="Arial Narrow"/>
          <w:sz w:val="18"/>
          <w:szCs w:val="18"/>
        </w:rPr>
        <w:footnoteRef/>
      </w:r>
      <w:r w:rsidRPr="00044E0E">
        <w:rPr>
          <w:rFonts w:ascii="Arial Narrow" w:hAnsi="Arial Narrow"/>
          <w:sz w:val="18"/>
          <w:szCs w:val="18"/>
          <w:lang w:val="el-GR"/>
        </w:rPr>
        <w:t xml:space="preserve"> Το πραγματικό επιτόκιο εκτιμάται ως η διαφορά μεταξύ του ονομαστικού επιτοκίου και του δωδεκάμηνου ρυθμού πληθωρισμού.</w:t>
      </w:r>
    </w:p>
  </w:footnote>
  <w:footnote w:id="39">
    <w:p w:rsidR="00D07D7B" w:rsidRPr="00571E40" w:rsidRDefault="00D07D7B" w:rsidP="00571E40">
      <w:pPr>
        <w:pStyle w:val="a8"/>
        <w:tabs>
          <w:tab w:val="left" w:pos="142"/>
        </w:tabs>
        <w:ind w:left="142" w:hanging="142"/>
        <w:jc w:val="both"/>
        <w:rPr>
          <w:rFonts w:ascii="Arial Narrow" w:hAnsi="Arial Narrow"/>
          <w:sz w:val="18"/>
          <w:szCs w:val="18"/>
          <w:lang w:val="el-GR"/>
        </w:rPr>
      </w:pPr>
      <w:r w:rsidRPr="00571E40">
        <w:rPr>
          <w:rStyle w:val="a9"/>
          <w:rFonts w:ascii="Arial Narrow" w:hAnsi="Arial Narrow"/>
          <w:sz w:val="18"/>
          <w:szCs w:val="18"/>
        </w:rPr>
        <w:footnoteRef/>
      </w:r>
      <w:r>
        <w:rPr>
          <w:rFonts w:ascii="Arial Narrow" w:hAnsi="Arial Narrow" w:cs="Arial"/>
          <w:sz w:val="18"/>
          <w:szCs w:val="18"/>
          <w:lang w:val="el-GR"/>
        </w:rPr>
        <w:tab/>
      </w:r>
      <w:r w:rsidRPr="00571E40">
        <w:rPr>
          <w:rFonts w:ascii="Arial Narrow" w:hAnsi="Arial Narrow" w:cs="Arial"/>
          <w:sz w:val="18"/>
          <w:szCs w:val="18"/>
          <w:lang w:val="el-GR"/>
        </w:rPr>
        <w:t>Οι χώρες μέλη της ζώνης του ευρώ απορροφούν πάνω από το 50% των συνολικών ελληνικών εξαγωγών. Η Ιταλία, η Γερμανία, η Του</w:t>
      </w:r>
      <w:r w:rsidRPr="00571E40">
        <w:rPr>
          <w:rFonts w:ascii="Arial Narrow" w:hAnsi="Arial Narrow" w:cs="Arial"/>
          <w:sz w:val="18"/>
          <w:szCs w:val="18"/>
          <w:lang w:val="el-GR"/>
        </w:rPr>
        <w:t>ρ</w:t>
      </w:r>
      <w:r w:rsidRPr="00571E40">
        <w:rPr>
          <w:rFonts w:ascii="Arial Narrow" w:hAnsi="Arial Narrow" w:cs="Arial"/>
          <w:sz w:val="18"/>
          <w:szCs w:val="18"/>
          <w:lang w:val="el-GR"/>
        </w:rPr>
        <w:t>κία, η Κύπρος και η Βουλγαρία είναι οι πέντε πρώτες αγορές για τα ελληνικά προϊόντα.</w:t>
      </w:r>
    </w:p>
  </w:footnote>
  <w:footnote w:id="40">
    <w:p w:rsidR="00D07D7B" w:rsidRPr="00571E40" w:rsidRDefault="00D07D7B" w:rsidP="00571E40">
      <w:pPr>
        <w:pStyle w:val="a8"/>
        <w:tabs>
          <w:tab w:val="left" w:pos="142"/>
        </w:tabs>
        <w:ind w:left="142" w:hanging="142"/>
        <w:jc w:val="both"/>
        <w:rPr>
          <w:rFonts w:ascii="Arial Narrow" w:hAnsi="Arial Narrow"/>
          <w:sz w:val="18"/>
          <w:szCs w:val="18"/>
          <w:lang w:val="el-GR"/>
        </w:rPr>
      </w:pPr>
      <w:r w:rsidRPr="00571E40">
        <w:rPr>
          <w:rStyle w:val="a9"/>
          <w:rFonts w:ascii="Arial Narrow" w:hAnsi="Arial Narrow"/>
          <w:sz w:val="18"/>
          <w:szCs w:val="18"/>
        </w:rPr>
        <w:footnoteRef/>
      </w:r>
      <w:r w:rsidRPr="00571E40">
        <w:rPr>
          <w:rFonts w:ascii="Arial Narrow" w:hAnsi="Arial Narrow"/>
          <w:sz w:val="18"/>
          <w:szCs w:val="18"/>
          <w:vertAlign w:val="superscript"/>
          <w:lang w:val="el-GR"/>
        </w:rPr>
        <w:t xml:space="preserve"> </w:t>
      </w:r>
      <w:r>
        <w:rPr>
          <w:rFonts w:ascii="Arial Narrow" w:hAnsi="Arial Narrow"/>
          <w:sz w:val="18"/>
          <w:szCs w:val="18"/>
          <w:vertAlign w:val="superscript"/>
          <w:lang w:val="el-GR"/>
        </w:rPr>
        <w:tab/>
      </w:r>
      <w:r w:rsidRPr="00571E40">
        <w:rPr>
          <w:rFonts w:ascii="Arial Narrow" w:hAnsi="Arial Narrow"/>
          <w:sz w:val="18"/>
          <w:szCs w:val="18"/>
          <w:lang w:val="el-GR"/>
        </w:rPr>
        <w:t>Σύμφωνα με τα στοιχεία της έρευνας συνόρων και χωρίς τα στοιχεία της κρουαζιέρας.</w:t>
      </w:r>
    </w:p>
  </w:footnote>
  <w:footnote w:id="41">
    <w:p w:rsidR="00D07D7B" w:rsidRPr="00571E40" w:rsidRDefault="00D07D7B" w:rsidP="00571E40">
      <w:pPr>
        <w:pStyle w:val="a8"/>
        <w:tabs>
          <w:tab w:val="left" w:pos="142"/>
        </w:tabs>
        <w:ind w:left="142" w:hanging="142"/>
        <w:jc w:val="both"/>
        <w:rPr>
          <w:rFonts w:ascii="Arial Narrow" w:hAnsi="Arial Narrow"/>
          <w:sz w:val="18"/>
          <w:szCs w:val="18"/>
          <w:lang w:val="el-GR"/>
        </w:rPr>
      </w:pPr>
      <w:r w:rsidRPr="00571E40">
        <w:rPr>
          <w:rStyle w:val="a9"/>
          <w:rFonts w:ascii="Arial Narrow" w:hAnsi="Arial Narrow"/>
          <w:sz w:val="18"/>
          <w:szCs w:val="18"/>
        </w:rPr>
        <w:footnoteRef/>
      </w:r>
      <w:r>
        <w:rPr>
          <w:rFonts w:ascii="Arial Narrow" w:hAnsi="Arial Narrow"/>
          <w:sz w:val="18"/>
          <w:szCs w:val="18"/>
          <w:lang w:val="el-GR"/>
        </w:rPr>
        <w:tab/>
      </w:r>
      <w:r w:rsidRPr="00571E40">
        <w:rPr>
          <w:rFonts w:ascii="Arial Narrow" w:hAnsi="Arial Narrow" w:cs="Arial"/>
          <w:sz w:val="18"/>
          <w:szCs w:val="18"/>
          <w:lang w:val="el-GR"/>
        </w:rPr>
        <w:t>Οι εισπράξεις των λοιπών πρωτογενών εισοδημάτων και των δευτερογενών εισοδημάτων της γενικής κυβέρνησης περιλαμβάνουν κ</w:t>
      </w:r>
      <w:r w:rsidRPr="00571E40">
        <w:rPr>
          <w:rFonts w:ascii="Arial Narrow" w:hAnsi="Arial Narrow" w:cs="Arial"/>
          <w:sz w:val="18"/>
          <w:szCs w:val="18"/>
          <w:lang w:val="el-GR"/>
        </w:rPr>
        <w:t>υ</w:t>
      </w:r>
      <w:r w:rsidRPr="00571E40">
        <w:rPr>
          <w:rFonts w:ascii="Arial Narrow" w:hAnsi="Arial Narrow" w:cs="Arial"/>
          <w:sz w:val="18"/>
          <w:szCs w:val="18"/>
          <w:lang w:val="el-GR"/>
        </w:rPr>
        <w:t>ρίως τις άμεσες ενισχύσεις και επιδοτήσεις στο πλαίσιο της Κοινής Αγροτικής Πολιτικής (ΚΑΠ), καθώς και τις απολήψεις από το Ε</w:t>
      </w:r>
      <w:r w:rsidRPr="00571E40">
        <w:rPr>
          <w:rFonts w:ascii="Arial Narrow" w:hAnsi="Arial Narrow" w:cs="Arial"/>
          <w:sz w:val="18"/>
          <w:szCs w:val="18"/>
          <w:lang w:val="el-GR"/>
        </w:rPr>
        <w:t>υ</w:t>
      </w:r>
      <w:r w:rsidRPr="00571E40">
        <w:rPr>
          <w:rFonts w:ascii="Arial Narrow" w:hAnsi="Arial Narrow" w:cs="Arial"/>
          <w:sz w:val="18"/>
          <w:szCs w:val="18"/>
          <w:lang w:val="el-GR"/>
        </w:rPr>
        <w:t>ρωπαϊκό Κοινωνικό Ταμείο, ενώ οι πληρωμές περιλαμβάνουν κυρίως τις αποδόσεις προς τον Κοινοτικό Προϋπολογισμό. Οι εισπράξεις κεφαλαίων της γενικής κυβέρνησης περιλαμβάνουν κυρίως τις απολήψεις από το Ευρωπαϊκό Ταμείο Περιφερειακής Ανάπτυξης και το Ταμείο Συνοχής.</w:t>
      </w:r>
    </w:p>
  </w:footnote>
  <w:footnote w:id="42">
    <w:p w:rsidR="00D07D7B" w:rsidRPr="009557E0" w:rsidRDefault="00D07D7B" w:rsidP="00571E40">
      <w:pPr>
        <w:pStyle w:val="a8"/>
        <w:ind w:left="142" w:hanging="142"/>
        <w:jc w:val="both"/>
        <w:rPr>
          <w:rFonts w:ascii="Arial Narrow" w:hAnsi="Arial Narrow"/>
          <w:sz w:val="18"/>
          <w:szCs w:val="18"/>
          <w:lang w:val="el-GR"/>
        </w:rPr>
      </w:pPr>
      <w:r w:rsidRPr="009557E0">
        <w:rPr>
          <w:rStyle w:val="a9"/>
          <w:rFonts w:ascii="Arial Narrow" w:hAnsi="Arial Narrow"/>
          <w:sz w:val="18"/>
          <w:szCs w:val="18"/>
        </w:rPr>
        <w:footnoteRef/>
      </w:r>
      <w:r w:rsidRPr="009557E0">
        <w:rPr>
          <w:rFonts w:ascii="Arial Narrow" w:hAnsi="Arial Narrow"/>
          <w:sz w:val="18"/>
          <w:szCs w:val="18"/>
          <w:lang w:val="el-GR"/>
        </w:rPr>
        <w:t xml:space="preserve"> Μεταξύ 2008-2018, θετική συμβολή στην πραγματική ανάπτυξη υπήρξε κατά τα έτη 2015-2017, αλλά με ετήσιο μέσο όρο μικρότερο των 0,6 ποσοστιαίων μονάδων.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7B" w:rsidRPr="00D40E4A" w:rsidRDefault="00D07D7B" w:rsidP="00D40E4A">
    <w:pPr>
      <w:pStyle w:val="a4"/>
      <w:jc w:val="both"/>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sidRPr="00D40E4A">
      <w:rPr>
        <w:rFonts w:ascii="Arial Narrow" w:hAnsi="Arial Narrow"/>
        <w:b/>
        <w:color w:val="808080"/>
        <w:sz w:val="22"/>
      </w:rPr>
      <w:t xml:space="preserve">ΚΕΦΑΛΑΙΟ </w:t>
    </w:r>
    <w:r>
      <w:rPr>
        <w:rFonts w:ascii="Arial Narrow" w:hAnsi="Arial Narrow"/>
        <w:b/>
        <w:color w:val="808080"/>
        <w:sz w:val="22"/>
      </w:rPr>
      <w:t>1</w:t>
    </w:r>
  </w:p>
  <w:p w:rsidR="00D07D7B" w:rsidRDefault="00D07D7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7B" w:rsidRPr="00D40E4A" w:rsidRDefault="00D07D7B" w:rsidP="00D40E4A">
    <w:pPr>
      <w:pStyle w:val="a4"/>
      <w:jc w:val="right"/>
      <w:rPr>
        <w:rFonts w:ascii="Arial Narrow" w:hAnsi="Arial Narrow"/>
        <w:b/>
        <w:color w:val="808080"/>
        <w:sz w:val="22"/>
      </w:rPr>
    </w:pPr>
    <w:r w:rsidRPr="008857CA">
      <w:rPr>
        <w:rFonts w:ascii="Arial Narrow" w:hAnsi="Arial Narrow"/>
        <w:color w:val="333333"/>
        <w:sz w:val="22"/>
      </w:rPr>
      <w:t>ΕΙΣΗΓΗΤΙΚΗ ΕΚΘΕΣΗ</w:t>
    </w:r>
    <w:r w:rsidRPr="00D40E4A">
      <w:rPr>
        <w:rFonts w:ascii="Arial Narrow" w:hAnsi="Arial Narrow"/>
        <w:b/>
        <w:color w:val="808080"/>
        <w:sz w:val="22"/>
      </w:rPr>
      <w:t xml:space="preserve"> </w:t>
    </w:r>
    <w:r>
      <w:rPr>
        <w:rFonts w:ascii="Arial Narrow" w:hAnsi="Arial Narrow"/>
        <w:b/>
        <w:color w:val="808080"/>
        <w:sz w:val="22"/>
        <w:lang w:val="en-US"/>
      </w:rPr>
      <w:t xml:space="preserve"> </w:t>
    </w:r>
    <w:r w:rsidRPr="00D40E4A">
      <w:rPr>
        <w:rFonts w:ascii="Arial Narrow" w:hAnsi="Arial Narrow"/>
        <w:b/>
        <w:color w:val="808080"/>
        <w:sz w:val="22"/>
      </w:rPr>
      <w:t>ΚΕΦΑΛΑΙΟ</w:t>
    </w:r>
    <w:r>
      <w:rPr>
        <w:rFonts w:ascii="Arial Narrow" w:hAnsi="Arial Narrow"/>
        <w:b/>
        <w:color w:val="808080"/>
        <w:sz w:val="22"/>
      </w:rPr>
      <w:t xml:space="preserve"> </w:t>
    </w:r>
    <w:r w:rsidRPr="00D40E4A">
      <w:rPr>
        <w:rFonts w:ascii="Arial Narrow" w:hAnsi="Arial Narrow"/>
        <w:b/>
        <w:color w:val="808080"/>
        <w:sz w:val="22"/>
      </w:rPr>
      <w:t xml:space="preserve"> </w:t>
    </w:r>
    <w:r>
      <w:rPr>
        <w:rFonts w:ascii="Arial Narrow" w:hAnsi="Arial Narrow"/>
        <w:b/>
        <w:color w:val="808080"/>
        <w:sz w:val="22"/>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432" w:hanging="432"/>
      </w:pPr>
      <w:rPr>
        <w:rFonts w:ascii="Symbol" w:hAnsi="Symbol" w:cs="Times New Roman"/>
        <w:color w:val="000000"/>
        <w:sz w:val="24"/>
        <w:szCs w:val="16"/>
      </w:rPr>
    </w:lvl>
    <w:lvl w:ilvl="1">
      <w:start w:val="1"/>
      <w:numFmt w:val="none"/>
      <w:suff w:val="nothing"/>
      <w:lvlText w:val=""/>
      <w:lvlJc w:val="left"/>
      <w:pPr>
        <w:tabs>
          <w:tab w:val="num" w:pos="0"/>
        </w:tabs>
        <w:ind w:left="576" w:hanging="576"/>
      </w:pPr>
      <w:rPr>
        <w:rFonts w:cs="Courier New"/>
      </w:rPr>
    </w:lvl>
    <w:lvl w:ilvl="2">
      <w:start w:val="1"/>
      <w:numFmt w:val="none"/>
      <w:suff w:val="nothing"/>
      <w:lvlText w:val=""/>
      <w:lvlJc w:val="left"/>
      <w:pPr>
        <w:tabs>
          <w:tab w:val="num" w:pos="0"/>
        </w:tabs>
        <w:ind w:left="720" w:hanging="720"/>
      </w:pPr>
      <w:rPr>
        <w:rFonts w:cs="Wingdings"/>
      </w:rPr>
    </w:lvl>
    <w:lvl w:ilvl="3">
      <w:start w:val="1"/>
      <w:numFmt w:val="none"/>
      <w:suff w:val="nothing"/>
      <w:lvlText w:val=""/>
      <w:lvlJc w:val="left"/>
      <w:pPr>
        <w:tabs>
          <w:tab w:val="num" w:pos="0"/>
        </w:tabs>
        <w:ind w:left="864" w:hanging="864"/>
      </w:pPr>
      <w:rPr>
        <w:rFonts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0"/>
        </w:tabs>
        <w:ind w:left="765" w:hanging="360"/>
      </w:pPr>
      <w:rPr>
        <w:rFonts w:ascii="Wingdings" w:hAnsi="Wingdings"/>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rPr>
    </w:lvl>
    <w:lvl w:ilvl="3">
      <w:start w:val="1"/>
      <w:numFmt w:val="bullet"/>
      <w:lvlText w:val=""/>
      <w:lvlJc w:val="left"/>
      <w:pPr>
        <w:tabs>
          <w:tab w:val="num" w:pos="0"/>
        </w:tabs>
        <w:ind w:left="2925" w:hanging="360"/>
      </w:pPr>
      <w:rPr>
        <w:rFonts w:ascii="Symbol" w:hAnsi="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rPr>
    </w:lvl>
    <w:lvl w:ilvl="6">
      <w:start w:val="1"/>
      <w:numFmt w:val="bullet"/>
      <w:lvlText w:val=""/>
      <w:lvlJc w:val="left"/>
      <w:pPr>
        <w:tabs>
          <w:tab w:val="num" w:pos="0"/>
        </w:tabs>
        <w:ind w:left="5085" w:hanging="360"/>
      </w:pPr>
      <w:rPr>
        <w:rFonts w:ascii="Symbol" w:hAnsi="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r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A13FA5"/>
    <w:multiLevelType w:val="hybridMultilevel"/>
    <w:tmpl w:val="CEF64CD0"/>
    <w:name w:val="WW8Num2"/>
    <w:lvl w:ilvl="0" w:tplc="CBFE4D6A">
      <w:start w:val="1"/>
      <w:numFmt w:val="bullet"/>
      <w:lvlText w:val=""/>
      <w:lvlJc w:val="left"/>
      <w:pPr>
        <w:ind w:left="1080" w:hanging="360"/>
      </w:pPr>
      <w:rPr>
        <w:rFonts w:ascii="Symbol" w:hAnsi="Symbol" w:hint="default"/>
      </w:rPr>
    </w:lvl>
    <w:lvl w:ilvl="1" w:tplc="62D4C5AC" w:tentative="1">
      <w:start w:val="1"/>
      <w:numFmt w:val="bullet"/>
      <w:lvlText w:val="o"/>
      <w:lvlJc w:val="left"/>
      <w:pPr>
        <w:ind w:left="1800" w:hanging="360"/>
      </w:pPr>
      <w:rPr>
        <w:rFonts w:ascii="Courier New" w:hAnsi="Courier New" w:cs="Courier New" w:hint="default"/>
      </w:rPr>
    </w:lvl>
    <w:lvl w:ilvl="2" w:tplc="D654D0DA" w:tentative="1">
      <w:start w:val="1"/>
      <w:numFmt w:val="bullet"/>
      <w:lvlText w:val=""/>
      <w:lvlJc w:val="left"/>
      <w:pPr>
        <w:ind w:left="2520" w:hanging="360"/>
      </w:pPr>
      <w:rPr>
        <w:rFonts w:ascii="Wingdings" w:hAnsi="Wingdings" w:hint="default"/>
      </w:rPr>
    </w:lvl>
    <w:lvl w:ilvl="3" w:tplc="B786190C" w:tentative="1">
      <w:start w:val="1"/>
      <w:numFmt w:val="bullet"/>
      <w:lvlText w:val=""/>
      <w:lvlJc w:val="left"/>
      <w:pPr>
        <w:ind w:left="3240" w:hanging="360"/>
      </w:pPr>
      <w:rPr>
        <w:rFonts w:ascii="Symbol" w:hAnsi="Symbol" w:hint="default"/>
      </w:rPr>
    </w:lvl>
    <w:lvl w:ilvl="4" w:tplc="658AE792" w:tentative="1">
      <w:start w:val="1"/>
      <w:numFmt w:val="bullet"/>
      <w:lvlText w:val="o"/>
      <w:lvlJc w:val="left"/>
      <w:pPr>
        <w:ind w:left="3960" w:hanging="360"/>
      </w:pPr>
      <w:rPr>
        <w:rFonts w:ascii="Courier New" w:hAnsi="Courier New" w:cs="Courier New" w:hint="default"/>
      </w:rPr>
    </w:lvl>
    <w:lvl w:ilvl="5" w:tplc="5B648B7E" w:tentative="1">
      <w:start w:val="1"/>
      <w:numFmt w:val="bullet"/>
      <w:lvlText w:val=""/>
      <w:lvlJc w:val="left"/>
      <w:pPr>
        <w:ind w:left="4680" w:hanging="360"/>
      </w:pPr>
      <w:rPr>
        <w:rFonts w:ascii="Wingdings" w:hAnsi="Wingdings" w:hint="default"/>
      </w:rPr>
    </w:lvl>
    <w:lvl w:ilvl="6" w:tplc="DDF24F48" w:tentative="1">
      <w:start w:val="1"/>
      <w:numFmt w:val="bullet"/>
      <w:lvlText w:val=""/>
      <w:lvlJc w:val="left"/>
      <w:pPr>
        <w:ind w:left="5400" w:hanging="360"/>
      </w:pPr>
      <w:rPr>
        <w:rFonts w:ascii="Symbol" w:hAnsi="Symbol" w:hint="default"/>
      </w:rPr>
    </w:lvl>
    <w:lvl w:ilvl="7" w:tplc="FC5E4760" w:tentative="1">
      <w:start w:val="1"/>
      <w:numFmt w:val="bullet"/>
      <w:lvlText w:val="o"/>
      <w:lvlJc w:val="left"/>
      <w:pPr>
        <w:ind w:left="6120" w:hanging="360"/>
      </w:pPr>
      <w:rPr>
        <w:rFonts w:ascii="Courier New" w:hAnsi="Courier New" w:cs="Courier New" w:hint="default"/>
      </w:rPr>
    </w:lvl>
    <w:lvl w:ilvl="8" w:tplc="9D6CB284" w:tentative="1">
      <w:start w:val="1"/>
      <w:numFmt w:val="bullet"/>
      <w:lvlText w:val=""/>
      <w:lvlJc w:val="left"/>
      <w:pPr>
        <w:ind w:left="6840" w:hanging="360"/>
      </w:pPr>
      <w:rPr>
        <w:rFonts w:ascii="Wingdings" w:hAnsi="Wingdings" w:hint="default"/>
      </w:rPr>
    </w:lvl>
  </w:abstractNum>
  <w:abstractNum w:abstractNumId="4">
    <w:nsid w:val="10C46EA1"/>
    <w:multiLevelType w:val="hybridMultilevel"/>
    <w:tmpl w:val="CD283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84F4310"/>
    <w:multiLevelType w:val="hybridMultilevel"/>
    <w:tmpl w:val="DB40A4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29403704"/>
    <w:multiLevelType w:val="hybridMultilevel"/>
    <w:tmpl w:val="5EB828D6"/>
    <w:lvl w:ilvl="0" w:tplc="F1B663AE">
      <w:numFmt w:val="bullet"/>
      <w:lvlText w:val="-"/>
      <w:lvlJc w:val="left"/>
      <w:pPr>
        <w:ind w:left="360" w:hanging="360"/>
      </w:pPr>
      <w:rPr>
        <w:rFonts w:ascii="Times New Roman" w:eastAsia="SimSu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3463073D"/>
    <w:multiLevelType w:val="hybridMultilevel"/>
    <w:tmpl w:val="D12894B0"/>
    <w:lvl w:ilvl="0" w:tplc="F1B663AE">
      <w:numFmt w:val="bullet"/>
      <w:lvlText w:val="-"/>
      <w:lvlJc w:val="left"/>
      <w:pPr>
        <w:ind w:left="36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A536854"/>
    <w:multiLevelType w:val="hybridMultilevel"/>
    <w:tmpl w:val="3D4C0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33539FB"/>
    <w:multiLevelType w:val="hybridMultilevel"/>
    <w:tmpl w:val="E84C4248"/>
    <w:lvl w:ilvl="0" w:tplc="359274C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5B3328E"/>
    <w:multiLevelType w:val="hybridMultilevel"/>
    <w:tmpl w:val="5022B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6"/>
  </w:num>
  <w:num w:numId="5">
    <w:abstractNumId w:val="7"/>
  </w:num>
  <w:num w:numId="6">
    <w:abstractNumId w:val="0"/>
  </w:num>
  <w:num w:numId="7">
    <w:abstractNumId w:val="4"/>
  </w:num>
  <w:num w:numId="8">
    <w:abstractNumId w:val="9"/>
  </w:num>
  <w:num w:numId="9">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mirrorMargins/>
  <w:attachedTemplate r:id="rId1"/>
  <w:stylePaneFormatFilter w:val="3F01"/>
  <w:defaultTabStop w:val="737"/>
  <w:autoHyphenation/>
  <w:hyphenationZone w:val="284"/>
  <w:evenAndOddHeaders/>
  <w:noPunctuationKerning/>
  <w:characterSpacingControl w:val="doNotCompress"/>
  <w:hdrShapeDefaults>
    <o:shapedefaults v:ext="edit" spidmax="146434"/>
  </w:hdrShapeDefaults>
  <w:footnotePr>
    <w:footnote w:id="-1"/>
    <w:footnote w:id="0"/>
  </w:footnotePr>
  <w:endnotePr>
    <w:endnote w:id="-1"/>
    <w:endnote w:id="0"/>
  </w:endnotePr>
  <w:compat/>
  <w:rsids>
    <w:rsidRoot w:val="00DF199F"/>
    <w:rsid w:val="00001CB3"/>
    <w:rsid w:val="0000558D"/>
    <w:rsid w:val="00006110"/>
    <w:rsid w:val="00006A7D"/>
    <w:rsid w:val="00010236"/>
    <w:rsid w:val="00012444"/>
    <w:rsid w:val="00013E46"/>
    <w:rsid w:val="00016197"/>
    <w:rsid w:val="00021022"/>
    <w:rsid w:val="0002317F"/>
    <w:rsid w:val="00024782"/>
    <w:rsid w:val="00024AB1"/>
    <w:rsid w:val="00024F99"/>
    <w:rsid w:val="0003023F"/>
    <w:rsid w:val="000311E7"/>
    <w:rsid w:val="000317CA"/>
    <w:rsid w:val="0003289A"/>
    <w:rsid w:val="00033BE0"/>
    <w:rsid w:val="00033DA7"/>
    <w:rsid w:val="00034212"/>
    <w:rsid w:val="0003514E"/>
    <w:rsid w:val="00035BB6"/>
    <w:rsid w:val="000369C2"/>
    <w:rsid w:val="00036A76"/>
    <w:rsid w:val="000370D8"/>
    <w:rsid w:val="0003726E"/>
    <w:rsid w:val="000403BD"/>
    <w:rsid w:val="00040823"/>
    <w:rsid w:val="000416F9"/>
    <w:rsid w:val="00042E16"/>
    <w:rsid w:val="00043FE7"/>
    <w:rsid w:val="00044E0E"/>
    <w:rsid w:val="00046358"/>
    <w:rsid w:val="000467F7"/>
    <w:rsid w:val="0004791D"/>
    <w:rsid w:val="00053B76"/>
    <w:rsid w:val="00055D02"/>
    <w:rsid w:val="000562F0"/>
    <w:rsid w:val="00060AC4"/>
    <w:rsid w:val="00061FE7"/>
    <w:rsid w:val="00062F53"/>
    <w:rsid w:val="000650ED"/>
    <w:rsid w:val="00065129"/>
    <w:rsid w:val="0006551E"/>
    <w:rsid w:val="0006668A"/>
    <w:rsid w:val="00070241"/>
    <w:rsid w:val="00070F33"/>
    <w:rsid w:val="00071021"/>
    <w:rsid w:val="00071082"/>
    <w:rsid w:val="0007113E"/>
    <w:rsid w:val="00071882"/>
    <w:rsid w:val="00071A66"/>
    <w:rsid w:val="00072063"/>
    <w:rsid w:val="0007493A"/>
    <w:rsid w:val="00074F4A"/>
    <w:rsid w:val="000750C6"/>
    <w:rsid w:val="0007566B"/>
    <w:rsid w:val="00077FEE"/>
    <w:rsid w:val="000801DE"/>
    <w:rsid w:val="00080F61"/>
    <w:rsid w:val="00085535"/>
    <w:rsid w:val="00085FA4"/>
    <w:rsid w:val="00086F31"/>
    <w:rsid w:val="00092DAF"/>
    <w:rsid w:val="000936A6"/>
    <w:rsid w:val="00095B94"/>
    <w:rsid w:val="00096221"/>
    <w:rsid w:val="00096255"/>
    <w:rsid w:val="00096BEC"/>
    <w:rsid w:val="00096C19"/>
    <w:rsid w:val="00097505"/>
    <w:rsid w:val="000A2522"/>
    <w:rsid w:val="000A34A7"/>
    <w:rsid w:val="000B0AE7"/>
    <w:rsid w:val="000B1168"/>
    <w:rsid w:val="000B29A8"/>
    <w:rsid w:val="000B3279"/>
    <w:rsid w:val="000B32E1"/>
    <w:rsid w:val="000B3F30"/>
    <w:rsid w:val="000B75CC"/>
    <w:rsid w:val="000C3C25"/>
    <w:rsid w:val="000C4DCC"/>
    <w:rsid w:val="000C6A7F"/>
    <w:rsid w:val="000D7322"/>
    <w:rsid w:val="000E093E"/>
    <w:rsid w:val="000E2262"/>
    <w:rsid w:val="000E2368"/>
    <w:rsid w:val="000E49E2"/>
    <w:rsid w:val="000E4ACA"/>
    <w:rsid w:val="000E6FEF"/>
    <w:rsid w:val="000F17F0"/>
    <w:rsid w:val="000F2D0A"/>
    <w:rsid w:val="000F3642"/>
    <w:rsid w:val="000F3C1B"/>
    <w:rsid w:val="000F584C"/>
    <w:rsid w:val="000F75E8"/>
    <w:rsid w:val="000F77F9"/>
    <w:rsid w:val="00101AEC"/>
    <w:rsid w:val="00107581"/>
    <w:rsid w:val="00107C95"/>
    <w:rsid w:val="00107EB2"/>
    <w:rsid w:val="00110222"/>
    <w:rsid w:val="00110A45"/>
    <w:rsid w:val="00112EBE"/>
    <w:rsid w:val="00114581"/>
    <w:rsid w:val="00114701"/>
    <w:rsid w:val="00114CE2"/>
    <w:rsid w:val="001202B3"/>
    <w:rsid w:val="001223F0"/>
    <w:rsid w:val="001261F4"/>
    <w:rsid w:val="00126C70"/>
    <w:rsid w:val="00127160"/>
    <w:rsid w:val="00127D63"/>
    <w:rsid w:val="00130B35"/>
    <w:rsid w:val="00133EF2"/>
    <w:rsid w:val="00134B57"/>
    <w:rsid w:val="001375B4"/>
    <w:rsid w:val="00142174"/>
    <w:rsid w:val="00142645"/>
    <w:rsid w:val="001438FA"/>
    <w:rsid w:val="001442BB"/>
    <w:rsid w:val="00144A88"/>
    <w:rsid w:val="00146363"/>
    <w:rsid w:val="00146549"/>
    <w:rsid w:val="001469DE"/>
    <w:rsid w:val="00146E36"/>
    <w:rsid w:val="00150736"/>
    <w:rsid w:val="00152D19"/>
    <w:rsid w:val="00154058"/>
    <w:rsid w:val="0015433B"/>
    <w:rsid w:val="0015487F"/>
    <w:rsid w:val="00154C3C"/>
    <w:rsid w:val="00155440"/>
    <w:rsid w:val="001561CD"/>
    <w:rsid w:val="0015695B"/>
    <w:rsid w:val="00156B1D"/>
    <w:rsid w:val="00157361"/>
    <w:rsid w:val="00160188"/>
    <w:rsid w:val="00160B32"/>
    <w:rsid w:val="00160B8F"/>
    <w:rsid w:val="00160E74"/>
    <w:rsid w:val="0016156A"/>
    <w:rsid w:val="00162276"/>
    <w:rsid w:val="001625CD"/>
    <w:rsid w:val="0016489A"/>
    <w:rsid w:val="0016550A"/>
    <w:rsid w:val="001700A4"/>
    <w:rsid w:val="001703E1"/>
    <w:rsid w:val="0017106E"/>
    <w:rsid w:val="00171811"/>
    <w:rsid w:val="001721BC"/>
    <w:rsid w:val="00172DFB"/>
    <w:rsid w:val="00176529"/>
    <w:rsid w:val="001769B4"/>
    <w:rsid w:val="00176C4D"/>
    <w:rsid w:val="00177929"/>
    <w:rsid w:val="001809B8"/>
    <w:rsid w:val="001829EF"/>
    <w:rsid w:val="00184F0A"/>
    <w:rsid w:val="00186D52"/>
    <w:rsid w:val="00190576"/>
    <w:rsid w:val="00191C94"/>
    <w:rsid w:val="00192136"/>
    <w:rsid w:val="001949F9"/>
    <w:rsid w:val="0019624A"/>
    <w:rsid w:val="001A0454"/>
    <w:rsid w:val="001A5DF9"/>
    <w:rsid w:val="001A65AA"/>
    <w:rsid w:val="001A6C29"/>
    <w:rsid w:val="001A7FE3"/>
    <w:rsid w:val="001B0B91"/>
    <w:rsid w:val="001B2DC4"/>
    <w:rsid w:val="001B6A98"/>
    <w:rsid w:val="001B6EA2"/>
    <w:rsid w:val="001B74D5"/>
    <w:rsid w:val="001B7B72"/>
    <w:rsid w:val="001C0275"/>
    <w:rsid w:val="001C055B"/>
    <w:rsid w:val="001C0873"/>
    <w:rsid w:val="001C1988"/>
    <w:rsid w:val="001C1A22"/>
    <w:rsid w:val="001C1A7C"/>
    <w:rsid w:val="001C38C2"/>
    <w:rsid w:val="001C3F66"/>
    <w:rsid w:val="001C5BF5"/>
    <w:rsid w:val="001C611A"/>
    <w:rsid w:val="001D118B"/>
    <w:rsid w:val="001D24C3"/>
    <w:rsid w:val="001D4210"/>
    <w:rsid w:val="001D724E"/>
    <w:rsid w:val="001D788A"/>
    <w:rsid w:val="001E2541"/>
    <w:rsid w:val="001E2894"/>
    <w:rsid w:val="001E2C0C"/>
    <w:rsid w:val="001E30A7"/>
    <w:rsid w:val="001E5308"/>
    <w:rsid w:val="001F0496"/>
    <w:rsid w:val="001F17F2"/>
    <w:rsid w:val="001F2026"/>
    <w:rsid w:val="001F27FF"/>
    <w:rsid w:val="001F280F"/>
    <w:rsid w:val="001F30CF"/>
    <w:rsid w:val="001F4235"/>
    <w:rsid w:val="001F5E39"/>
    <w:rsid w:val="001F6CBA"/>
    <w:rsid w:val="002031A4"/>
    <w:rsid w:val="00204BFF"/>
    <w:rsid w:val="002051E6"/>
    <w:rsid w:val="002061D9"/>
    <w:rsid w:val="0020650E"/>
    <w:rsid w:val="0020760D"/>
    <w:rsid w:val="002110C1"/>
    <w:rsid w:val="002121C5"/>
    <w:rsid w:val="00212DD4"/>
    <w:rsid w:val="00213C6E"/>
    <w:rsid w:val="00213CF5"/>
    <w:rsid w:val="0021550F"/>
    <w:rsid w:val="00216521"/>
    <w:rsid w:val="00216608"/>
    <w:rsid w:val="002206AA"/>
    <w:rsid w:val="00220AF3"/>
    <w:rsid w:val="002212D5"/>
    <w:rsid w:val="00221447"/>
    <w:rsid w:val="00223D05"/>
    <w:rsid w:val="002249D4"/>
    <w:rsid w:val="00225DB0"/>
    <w:rsid w:val="00227EEC"/>
    <w:rsid w:val="00230D7E"/>
    <w:rsid w:val="002334A4"/>
    <w:rsid w:val="0023415B"/>
    <w:rsid w:val="00234956"/>
    <w:rsid w:val="00243770"/>
    <w:rsid w:val="00251705"/>
    <w:rsid w:val="00254249"/>
    <w:rsid w:val="00254AC9"/>
    <w:rsid w:val="002558C3"/>
    <w:rsid w:val="0025663B"/>
    <w:rsid w:val="002622A9"/>
    <w:rsid w:val="002628E8"/>
    <w:rsid w:val="00264D37"/>
    <w:rsid w:val="00264E0D"/>
    <w:rsid w:val="002659E4"/>
    <w:rsid w:val="00270EB9"/>
    <w:rsid w:val="00272E65"/>
    <w:rsid w:val="00273A70"/>
    <w:rsid w:val="00275D53"/>
    <w:rsid w:val="00280574"/>
    <w:rsid w:val="00282E46"/>
    <w:rsid w:val="002836FE"/>
    <w:rsid w:val="002851B4"/>
    <w:rsid w:val="00287CD8"/>
    <w:rsid w:val="002912E8"/>
    <w:rsid w:val="002925CF"/>
    <w:rsid w:val="00293FF0"/>
    <w:rsid w:val="002963A8"/>
    <w:rsid w:val="002A1796"/>
    <w:rsid w:val="002A1B10"/>
    <w:rsid w:val="002A1BE8"/>
    <w:rsid w:val="002A2735"/>
    <w:rsid w:val="002A3DAA"/>
    <w:rsid w:val="002A5EB9"/>
    <w:rsid w:val="002B0706"/>
    <w:rsid w:val="002B080D"/>
    <w:rsid w:val="002B2CD8"/>
    <w:rsid w:val="002B320F"/>
    <w:rsid w:val="002B3295"/>
    <w:rsid w:val="002B4535"/>
    <w:rsid w:val="002B58FC"/>
    <w:rsid w:val="002B64CC"/>
    <w:rsid w:val="002B7440"/>
    <w:rsid w:val="002C2EEC"/>
    <w:rsid w:val="002C2FD1"/>
    <w:rsid w:val="002C400A"/>
    <w:rsid w:val="002C4390"/>
    <w:rsid w:val="002C6910"/>
    <w:rsid w:val="002C6E7D"/>
    <w:rsid w:val="002D0031"/>
    <w:rsid w:val="002D25DD"/>
    <w:rsid w:val="002D5FE1"/>
    <w:rsid w:val="002D66AC"/>
    <w:rsid w:val="002D6E91"/>
    <w:rsid w:val="002D6EB4"/>
    <w:rsid w:val="002E105D"/>
    <w:rsid w:val="002E19B0"/>
    <w:rsid w:val="002E1BFB"/>
    <w:rsid w:val="002E2321"/>
    <w:rsid w:val="002E2645"/>
    <w:rsid w:val="002E3BE6"/>
    <w:rsid w:val="002E6E3E"/>
    <w:rsid w:val="002E71F5"/>
    <w:rsid w:val="002E74C2"/>
    <w:rsid w:val="002E7A41"/>
    <w:rsid w:val="002F2594"/>
    <w:rsid w:val="002F2E95"/>
    <w:rsid w:val="002F2FFE"/>
    <w:rsid w:val="002F32A5"/>
    <w:rsid w:val="002F381F"/>
    <w:rsid w:val="002F3F1F"/>
    <w:rsid w:val="002F4293"/>
    <w:rsid w:val="002F4416"/>
    <w:rsid w:val="002F4E71"/>
    <w:rsid w:val="002F5711"/>
    <w:rsid w:val="002F7701"/>
    <w:rsid w:val="00302E92"/>
    <w:rsid w:val="00303356"/>
    <w:rsid w:val="00306A49"/>
    <w:rsid w:val="00311971"/>
    <w:rsid w:val="0031234E"/>
    <w:rsid w:val="00312F43"/>
    <w:rsid w:val="00315607"/>
    <w:rsid w:val="00321FEB"/>
    <w:rsid w:val="00322A24"/>
    <w:rsid w:val="0032351A"/>
    <w:rsid w:val="00331DF7"/>
    <w:rsid w:val="00333345"/>
    <w:rsid w:val="003339D5"/>
    <w:rsid w:val="00333C57"/>
    <w:rsid w:val="00335A2B"/>
    <w:rsid w:val="00336197"/>
    <w:rsid w:val="003367AE"/>
    <w:rsid w:val="00340B54"/>
    <w:rsid w:val="0034193F"/>
    <w:rsid w:val="00343355"/>
    <w:rsid w:val="0034345E"/>
    <w:rsid w:val="00344D53"/>
    <w:rsid w:val="00344D63"/>
    <w:rsid w:val="00345FD9"/>
    <w:rsid w:val="0034734F"/>
    <w:rsid w:val="003474AC"/>
    <w:rsid w:val="003500B7"/>
    <w:rsid w:val="0035059D"/>
    <w:rsid w:val="003526D0"/>
    <w:rsid w:val="003550FF"/>
    <w:rsid w:val="00357716"/>
    <w:rsid w:val="00360902"/>
    <w:rsid w:val="00360C88"/>
    <w:rsid w:val="00361B47"/>
    <w:rsid w:val="00361F11"/>
    <w:rsid w:val="00362E37"/>
    <w:rsid w:val="00363847"/>
    <w:rsid w:val="00363946"/>
    <w:rsid w:val="0036401A"/>
    <w:rsid w:val="00371E80"/>
    <w:rsid w:val="00372CCD"/>
    <w:rsid w:val="0037692C"/>
    <w:rsid w:val="003770DA"/>
    <w:rsid w:val="003828AA"/>
    <w:rsid w:val="00382B26"/>
    <w:rsid w:val="003839A5"/>
    <w:rsid w:val="003840F1"/>
    <w:rsid w:val="00385B19"/>
    <w:rsid w:val="00387FED"/>
    <w:rsid w:val="00390374"/>
    <w:rsid w:val="00390AE6"/>
    <w:rsid w:val="00391E36"/>
    <w:rsid w:val="003921D2"/>
    <w:rsid w:val="00393ECF"/>
    <w:rsid w:val="00395027"/>
    <w:rsid w:val="003A1C36"/>
    <w:rsid w:val="003A580A"/>
    <w:rsid w:val="003A59FC"/>
    <w:rsid w:val="003A6B91"/>
    <w:rsid w:val="003B08B5"/>
    <w:rsid w:val="003B1C37"/>
    <w:rsid w:val="003B1FC4"/>
    <w:rsid w:val="003B30AA"/>
    <w:rsid w:val="003B322C"/>
    <w:rsid w:val="003B3DD6"/>
    <w:rsid w:val="003B55C3"/>
    <w:rsid w:val="003B65BF"/>
    <w:rsid w:val="003C0E5D"/>
    <w:rsid w:val="003C224A"/>
    <w:rsid w:val="003C33D2"/>
    <w:rsid w:val="003C3831"/>
    <w:rsid w:val="003C38B8"/>
    <w:rsid w:val="003C3DA5"/>
    <w:rsid w:val="003C50C4"/>
    <w:rsid w:val="003C5B71"/>
    <w:rsid w:val="003C7C4E"/>
    <w:rsid w:val="003D1190"/>
    <w:rsid w:val="003D227F"/>
    <w:rsid w:val="003D2A1E"/>
    <w:rsid w:val="003D3F6F"/>
    <w:rsid w:val="003D4F83"/>
    <w:rsid w:val="003D60DD"/>
    <w:rsid w:val="003D724A"/>
    <w:rsid w:val="003E13B7"/>
    <w:rsid w:val="003E1507"/>
    <w:rsid w:val="003E16DF"/>
    <w:rsid w:val="003E2786"/>
    <w:rsid w:val="003E3EF3"/>
    <w:rsid w:val="003E4477"/>
    <w:rsid w:val="003E64DF"/>
    <w:rsid w:val="003E7B86"/>
    <w:rsid w:val="003F0135"/>
    <w:rsid w:val="003F4B16"/>
    <w:rsid w:val="003F4DB3"/>
    <w:rsid w:val="003F5546"/>
    <w:rsid w:val="003F66B5"/>
    <w:rsid w:val="003F7352"/>
    <w:rsid w:val="003F747A"/>
    <w:rsid w:val="003F74E4"/>
    <w:rsid w:val="003F7564"/>
    <w:rsid w:val="00400AA8"/>
    <w:rsid w:val="00400C3F"/>
    <w:rsid w:val="004026E8"/>
    <w:rsid w:val="004036FB"/>
    <w:rsid w:val="004042D8"/>
    <w:rsid w:val="004043CB"/>
    <w:rsid w:val="00404FF1"/>
    <w:rsid w:val="004053EB"/>
    <w:rsid w:val="00405BB6"/>
    <w:rsid w:val="00406668"/>
    <w:rsid w:val="00410E4E"/>
    <w:rsid w:val="004116A5"/>
    <w:rsid w:val="00412135"/>
    <w:rsid w:val="00412D9A"/>
    <w:rsid w:val="004144F7"/>
    <w:rsid w:val="004169CD"/>
    <w:rsid w:val="00417D14"/>
    <w:rsid w:val="00422BC0"/>
    <w:rsid w:val="004231B9"/>
    <w:rsid w:val="00424DB0"/>
    <w:rsid w:val="00424EAB"/>
    <w:rsid w:val="00426D7D"/>
    <w:rsid w:val="00430F34"/>
    <w:rsid w:val="00430F73"/>
    <w:rsid w:val="00431235"/>
    <w:rsid w:val="00433B57"/>
    <w:rsid w:val="00433C01"/>
    <w:rsid w:val="00435014"/>
    <w:rsid w:val="004372AB"/>
    <w:rsid w:val="0044019D"/>
    <w:rsid w:val="00440D49"/>
    <w:rsid w:val="00443818"/>
    <w:rsid w:val="00444ED8"/>
    <w:rsid w:val="00445DA8"/>
    <w:rsid w:val="00452BA0"/>
    <w:rsid w:val="0045316C"/>
    <w:rsid w:val="0045337E"/>
    <w:rsid w:val="00454671"/>
    <w:rsid w:val="004564F5"/>
    <w:rsid w:val="00457E62"/>
    <w:rsid w:val="004609D8"/>
    <w:rsid w:val="00461216"/>
    <w:rsid w:val="004616CF"/>
    <w:rsid w:val="004619D6"/>
    <w:rsid w:val="00463836"/>
    <w:rsid w:val="00463A8E"/>
    <w:rsid w:val="00464D1B"/>
    <w:rsid w:val="00465781"/>
    <w:rsid w:val="00465DEB"/>
    <w:rsid w:val="004660D6"/>
    <w:rsid w:val="00470A01"/>
    <w:rsid w:val="00470A07"/>
    <w:rsid w:val="004712C0"/>
    <w:rsid w:val="00471A27"/>
    <w:rsid w:val="00471A4C"/>
    <w:rsid w:val="00472B91"/>
    <w:rsid w:val="00472EC7"/>
    <w:rsid w:val="00472F3A"/>
    <w:rsid w:val="00475C8D"/>
    <w:rsid w:val="00475D46"/>
    <w:rsid w:val="0047627D"/>
    <w:rsid w:val="00477836"/>
    <w:rsid w:val="00481B85"/>
    <w:rsid w:val="0048389D"/>
    <w:rsid w:val="004838C3"/>
    <w:rsid w:val="00485B70"/>
    <w:rsid w:val="00485CB7"/>
    <w:rsid w:val="00485FD7"/>
    <w:rsid w:val="0048762E"/>
    <w:rsid w:val="00487EB1"/>
    <w:rsid w:val="00490C3E"/>
    <w:rsid w:val="00490D3B"/>
    <w:rsid w:val="00491DA2"/>
    <w:rsid w:val="004940F4"/>
    <w:rsid w:val="00494474"/>
    <w:rsid w:val="004947F6"/>
    <w:rsid w:val="004948BA"/>
    <w:rsid w:val="00495AE3"/>
    <w:rsid w:val="00495C4C"/>
    <w:rsid w:val="0049760F"/>
    <w:rsid w:val="004A0ED0"/>
    <w:rsid w:val="004A2D63"/>
    <w:rsid w:val="004A34C3"/>
    <w:rsid w:val="004A4A67"/>
    <w:rsid w:val="004A52E3"/>
    <w:rsid w:val="004A5B4F"/>
    <w:rsid w:val="004A6232"/>
    <w:rsid w:val="004A7DE0"/>
    <w:rsid w:val="004B16EF"/>
    <w:rsid w:val="004B1A8D"/>
    <w:rsid w:val="004B3770"/>
    <w:rsid w:val="004B63FF"/>
    <w:rsid w:val="004B77ED"/>
    <w:rsid w:val="004C0329"/>
    <w:rsid w:val="004C0689"/>
    <w:rsid w:val="004C0D32"/>
    <w:rsid w:val="004C0D45"/>
    <w:rsid w:val="004C44CE"/>
    <w:rsid w:val="004D23A1"/>
    <w:rsid w:val="004D6077"/>
    <w:rsid w:val="004D6691"/>
    <w:rsid w:val="004E0634"/>
    <w:rsid w:val="004E19A8"/>
    <w:rsid w:val="004E1F3C"/>
    <w:rsid w:val="004E24BD"/>
    <w:rsid w:val="004E39DA"/>
    <w:rsid w:val="004E5522"/>
    <w:rsid w:val="004F442B"/>
    <w:rsid w:val="004F61A1"/>
    <w:rsid w:val="004F6576"/>
    <w:rsid w:val="004F6CCF"/>
    <w:rsid w:val="004F70C3"/>
    <w:rsid w:val="005019FC"/>
    <w:rsid w:val="00501CD6"/>
    <w:rsid w:val="005027F0"/>
    <w:rsid w:val="00505829"/>
    <w:rsid w:val="00506F7E"/>
    <w:rsid w:val="005077DB"/>
    <w:rsid w:val="00510FC2"/>
    <w:rsid w:val="00511070"/>
    <w:rsid w:val="00511238"/>
    <w:rsid w:val="005155D1"/>
    <w:rsid w:val="00516046"/>
    <w:rsid w:val="00516DBE"/>
    <w:rsid w:val="00516DE7"/>
    <w:rsid w:val="005171CC"/>
    <w:rsid w:val="00520952"/>
    <w:rsid w:val="00520EB9"/>
    <w:rsid w:val="0052260A"/>
    <w:rsid w:val="005235FE"/>
    <w:rsid w:val="00524B86"/>
    <w:rsid w:val="00524E37"/>
    <w:rsid w:val="005253C2"/>
    <w:rsid w:val="005316F8"/>
    <w:rsid w:val="00536867"/>
    <w:rsid w:val="00536B1D"/>
    <w:rsid w:val="005379D1"/>
    <w:rsid w:val="00540664"/>
    <w:rsid w:val="005443DB"/>
    <w:rsid w:val="00547DF1"/>
    <w:rsid w:val="005504B3"/>
    <w:rsid w:val="005504DC"/>
    <w:rsid w:val="005505E8"/>
    <w:rsid w:val="005513E1"/>
    <w:rsid w:val="00551CD6"/>
    <w:rsid w:val="00551DE6"/>
    <w:rsid w:val="00553469"/>
    <w:rsid w:val="0055347B"/>
    <w:rsid w:val="005534EF"/>
    <w:rsid w:val="00553C55"/>
    <w:rsid w:val="00553F4A"/>
    <w:rsid w:val="0055479E"/>
    <w:rsid w:val="00554C90"/>
    <w:rsid w:val="00556E09"/>
    <w:rsid w:val="00562F3E"/>
    <w:rsid w:val="005660D1"/>
    <w:rsid w:val="0057071D"/>
    <w:rsid w:val="00570735"/>
    <w:rsid w:val="00570F2F"/>
    <w:rsid w:val="0057124C"/>
    <w:rsid w:val="00571E40"/>
    <w:rsid w:val="0057247E"/>
    <w:rsid w:val="0057389E"/>
    <w:rsid w:val="00573907"/>
    <w:rsid w:val="0057632E"/>
    <w:rsid w:val="00577860"/>
    <w:rsid w:val="005806AC"/>
    <w:rsid w:val="00580FF4"/>
    <w:rsid w:val="005835B2"/>
    <w:rsid w:val="00584217"/>
    <w:rsid w:val="00586260"/>
    <w:rsid w:val="00590374"/>
    <w:rsid w:val="005906F1"/>
    <w:rsid w:val="00590883"/>
    <w:rsid w:val="00590A63"/>
    <w:rsid w:val="005934B9"/>
    <w:rsid w:val="00595895"/>
    <w:rsid w:val="00596C6E"/>
    <w:rsid w:val="005A08CD"/>
    <w:rsid w:val="005A1247"/>
    <w:rsid w:val="005A220C"/>
    <w:rsid w:val="005A2AF7"/>
    <w:rsid w:val="005A2CA4"/>
    <w:rsid w:val="005A3666"/>
    <w:rsid w:val="005A4438"/>
    <w:rsid w:val="005A47C7"/>
    <w:rsid w:val="005A55C0"/>
    <w:rsid w:val="005B078D"/>
    <w:rsid w:val="005B165E"/>
    <w:rsid w:val="005B1B44"/>
    <w:rsid w:val="005B2CA9"/>
    <w:rsid w:val="005B376D"/>
    <w:rsid w:val="005B4EB9"/>
    <w:rsid w:val="005B5836"/>
    <w:rsid w:val="005B6E0D"/>
    <w:rsid w:val="005B754E"/>
    <w:rsid w:val="005B7E79"/>
    <w:rsid w:val="005C0FD1"/>
    <w:rsid w:val="005C4A46"/>
    <w:rsid w:val="005C500F"/>
    <w:rsid w:val="005C5171"/>
    <w:rsid w:val="005C6BCC"/>
    <w:rsid w:val="005C7298"/>
    <w:rsid w:val="005D0FB4"/>
    <w:rsid w:val="005D14F3"/>
    <w:rsid w:val="005E00EF"/>
    <w:rsid w:val="005E0ADB"/>
    <w:rsid w:val="005E2E64"/>
    <w:rsid w:val="005E3947"/>
    <w:rsid w:val="005E4CAB"/>
    <w:rsid w:val="005E5421"/>
    <w:rsid w:val="005E60F9"/>
    <w:rsid w:val="005F1692"/>
    <w:rsid w:val="005F311B"/>
    <w:rsid w:val="005F48B3"/>
    <w:rsid w:val="005F4CAD"/>
    <w:rsid w:val="005F53AC"/>
    <w:rsid w:val="005F553A"/>
    <w:rsid w:val="005F5D06"/>
    <w:rsid w:val="005F5D8F"/>
    <w:rsid w:val="005F6C01"/>
    <w:rsid w:val="005F7CB3"/>
    <w:rsid w:val="00601019"/>
    <w:rsid w:val="00601B01"/>
    <w:rsid w:val="00603ADE"/>
    <w:rsid w:val="00610337"/>
    <w:rsid w:val="00611D54"/>
    <w:rsid w:val="00611F52"/>
    <w:rsid w:val="006142B1"/>
    <w:rsid w:val="00615EA6"/>
    <w:rsid w:val="00620F5D"/>
    <w:rsid w:val="00620FBE"/>
    <w:rsid w:val="00621291"/>
    <w:rsid w:val="0062174B"/>
    <w:rsid w:val="00621F83"/>
    <w:rsid w:val="00622222"/>
    <w:rsid w:val="00623468"/>
    <w:rsid w:val="00623761"/>
    <w:rsid w:val="006303DE"/>
    <w:rsid w:val="006308A2"/>
    <w:rsid w:val="006341D0"/>
    <w:rsid w:val="00636249"/>
    <w:rsid w:val="00636E34"/>
    <w:rsid w:val="00640116"/>
    <w:rsid w:val="0064063E"/>
    <w:rsid w:val="006409A1"/>
    <w:rsid w:val="00640BDA"/>
    <w:rsid w:val="006412F3"/>
    <w:rsid w:val="00641427"/>
    <w:rsid w:val="006465D8"/>
    <w:rsid w:val="00647546"/>
    <w:rsid w:val="00651905"/>
    <w:rsid w:val="00651C09"/>
    <w:rsid w:val="00652204"/>
    <w:rsid w:val="00652EC3"/>
    <w:rsid w:val="006557CA"/>
    <w:rsid w:val="00660A0F"/>
    <w:rsid w:val="0066175A"/>
    <w:rsid w:val="00662671"/>
    <w:rsid w:val="00666011"/>
    <w:rsid w:val="00666AB7"/>
    <w:rsid w:val="00666B0B"/>
    <w:rsid w:val="00667B9E"/>
    <w:rsid w:val="0067450B"/>
    <w:rsid w:val="006753C5"/>
    <w:rsid w:val="00680177"/>
    <w:rsid w:val="006806B9"/>
    <w:rsid w:val="006809D7"/>
    <w:rsid w:val="0068251A"/>
    <w:rsid w:val="00683FCA"/>
    <w:rsid w:val="0068685E"/>
    <w:rsid w:val="00686982"/>
    <w:rsid w:val="00687235"/>
    <w:rsid w:val="00690123"/>
    <w:rsid w:val="00690253"/>
    <w:rsid w:val="006902EC"/>
    <w:rsid w:val="006908FC"/>
    <w:rsid w:val="0069116C"/>
    <w:rsid w:val="00692969"/>
    <w:rsid w:val="00693237"/>
    <w:rsid w:val="00694CDB"/>
    <w:rsid w:val="00694E15"/>
    <w:rsid w:val="0069581B"/>
    <w:rsid w:val="00696BF6"/>
    <w:rsid w:val="00697F35"/>
    <w:rsid w:val="006A4D8B"/>
    <w:rsid w:val="006B0F38"/>
    <w:rsid w:val="006B187E"/>
    <w:rsid w:val="006B2D0E"/>
    <w:rsid w:val="006B7533"/>
    <w:rsid w:val="006C1154"/>
    <w:rsid w:val="006C168E"/>
    <w:rsid w:val="006C2292"/>
    <w:rsid w:val="006C2372"/>
    <w:rsid w:val="006C5013"/>
    <w:rsid w:val="006C7AEA"/>
    <w:rsid w:val="006D1767"/>
    <w:rsid w:val="006D2901"/>
    <w:rsid w:val="006D5B7C"/>
    <w:rsid w:val="006D618D"/>
    <w:rsid w:val="006D6CAF"/>
    <w:rsid w:val="006D7BAF"/>
    <w:rsid w:val="006E1B83"/>
    <w:rsid w:val="006E2D30"/>
    <w:rsid w:val="006E44AA"/>
    <w:rsid w:val="006E68BF"/>
    <w:rsid w:val="006E7416"/>
    <w:rsid w:val="006F0608"/>
    <w:rsid w:val="006F0D66"/>
    <w:rsid w:val="006F29EB"/>
    <w:rsid w:val="006F5EA2"/>
    <w:rsid w:val="006F6DB7"/>
    <w:rsid w:val="006F7383"/>
    <w:rsid w:val="00700CC9"/>
    <w:rsid w:val="00700DCB"/>
    <w:rsid w:val="007033A9"/>
    <w:rsid w:val="00703E22"/>
    <w:rsid w:val="0070429F"/>
    <w:rsid w:val="00704F36"/>
    <w:rsid w:val="007059EE"/>
    <w:rsid w:val="00705BA4"/>
    <w:rsid w:val="007060C3"/>
    <w:rsid w:val="00706166"/>
    <w:rsid w:val="00706ACD"/>
    <w:rsid w:val="00706EBF"/>
    <w:rsid w:val="00707516"/>
    <w:rsid w:val="00711237"/>
    <w:rsid w:val="007121F8"/>
    <w:rsid w:val="00715F2C"/>
    <w:rsid w:val="007164C4"/>
    <w:rsid w:val="00723223"/>
    <w:rsid w:val="00723E51"/>
    <w:rsid w:val="00730863"/>
    <w:rsid w:val="0073213F"/>
    <w:rsid w:val="00732F89"/>
    <w:rsid w:val="00735251"/>
    <w:rsid w:val="00735D95"/>
    <w:rsid w:val="007404DE"/>
    <w:rsid w:val="00740777"/>
    <w:rsid w:val="007444CE"/>
    <w:rsid w:val="0074661E"/>
    <w:rsid w:val="00750523"/>
    <w:rsid w:val="007508DE"/>
    <w:rsid w:val="00751249"/>
    <w:rsid w:val="00751AD4"/>
    <w:rsid w:val="00752C28"/>
    <w:rsid w:val="00753AD3"/>
    <w:rsid w:val="00754225"/>
    <w:rsid w:val="007542BF"/>
    <w:rsid w:val="00754A01"/>
    <w:rsid w:val="0075623F"/>
    <w:rsid w:val="0075744D"/>
    <w:rsid w:val="00757BD4"/>
    <w:rsid w:val="007607CF"/>
    <w:rsid w:val="00763271"/>
    <w:rsid w:val="0076494A"/>
    <w:rsid w:val="007650F1"/>
    <w:rsid w:val="007701B3"/>
    <w:rsid w:val="00770AFC"/>
    <w:rsid w:val="00776451"/>
    <w:rsid w:val="00777BD8"/>
    <w:rsid w:val="00777F38"/>
    <w:rsid w:val="00780119"/>
    <w:rsid w:val="0078099A"/>
    <w:rsid w:val="0078457F"/>
    <w:rsid w:val="00784942"/>
    <w:rsid w:val="00784D95"/>
    <w:rsid w:val="00784FD6"/>
    <w:rsid w:val="0078527F"/>
    <w:rsid w:val="00786869"/>
    <w:rsid w:val="00791721"/>
    <w:rsid w:val="00791865"/>
    <w:rsid w:val="007920B7"/>
    <w:rsid w:val="00793243"/>
    <w:rsid w:val="00793AF9"/>
    <w:rsid w:val="00794063"/>
    <w:rsid w:val="007959E3"/>
    <w:rsid w:val="00795ECF"/>
    <w:rsid w:val="007A02D4"/>
    <w:rsid w:val="007A1A12"/>
    <w:rsid w:val="007A3424"/>
    <w:rsid w:val="007A4E8A"/>
    <w:rsid w:val="007A4F45"/>
    <w:rsid w:val="007A78A5"/>
    <w:rsid w:val="007A7BDA"/>
    <w:rsid w:val="007A7C4D"/>
    <w:rsid w:val="007A7D95"/>
    <w:rsid w:val="007B0625"/>
    <w:rsid w:val="007B0D62"/>
    <w:rsid w:val="007B1035"/>
    <w:rsid w:val="007B164C"/>
    <w:rsid w:val="007B17E3"/>
    <w:rsid w:val="007B1E25"/>
    <w:rsid w:val="007B4997"/>
    <w:rsid w:val="007B4AEA"/>
    <w:rsid w:val="007B4CAD"/>
    <w:rsid w:val="007B6238"/>
    <w:rsid w:val="007B748F"/>
    <w:rsid w:val="007B7608"/>
    <w:rsid w:val="007B7709"/>
    <w:rsid w:val="007B7827"/>
    <w:rsid w:val="007C1D79"/>
    <w:rsid w:val="007C210D"/>
    <w:rsid w:val="007C2A2A"/>
    <w:rsid w:val="007C38A3"/>
    <w:rsid w:val="007C3DA6"/>
    <w:rsid w:val="007C4C53"/>
    <w:rsid w:val="007D0DEA"/>
    <w:rsid w:val="007D0FD4"/>
    <w:rsid w:val="007D122C"/>
    <w:rsid w:val="007D15C9"/>
    <w:rsid w:val="007D2509"/>
    <w:rsid w:val="007D31DA"/>
    <w:rsid w:val="007D5608"/>
    <w:rsid w:val="007D6996"/>
    <w:rsid w:val="007D71BD"/>
    <w:rsid w:val="007E0A7F"/>
    <w:rsid w:val="007E158C"/>
    <w:rsid w:val="007E1985"/>
    <w:rsid w:val="007E1D1B"/>
    <w:rsid w:val="007E1E99"/>
    <w:rsid w:val="007E34AC"/>
    <w:rsid w:val="007E3CB7"/>
    <w:rsid w:val="007E4435"/>
    <w:rsid w:val="007E5251"/>
    <w:rsid w:val="007E6887"/>
    <w:rsid w:val="007E71A6"/>
    <w:rsid w:val="007F19AE"/>
    <w:rsid w:val="007F22C6"/>
    <w:rsid w:val="007F3E2F"/>
    <w:rsid w:val="007F512A"/>
    <w:rsid w:val="007F5AF0"/>
    <w:rsid w:val="007F78F0"/>
    <w:rsid w:val="008010DA"/>
    <w:rsid w:val="00801BB8"/>
    <w:rsid w:val="0080560D"/>
    <w:rsid w:val="00810B35"/>
    <w:rsid w:val="00811568"/>
    <w:rsid w:val="00811576"/>
    <w:rsid w:val="0081221F"/>
    <w:rsid w:val="008128F5"/>
    <w:rsid w:val="0081713D"/>
    <w:rsid w:val="00817962"/>
    <w:rsid w:val="00817B8E"/>
    <w:rsid w:val="00827F7B"/>
    <w:rsid w:val="00830777"/>
    <w:rsid w:val="008339E7"/>
    <w:rsid w:val="00834642"/>
    <w:rsid w:val="00834929"/>
    <w:rsid w:val="00835903"/>
    <w:rsid w:val="00836E9D"/>
    <w:rsid w:val="0084364C"/>
    <w:rsid w:val="00844371"/>
    <w:rsid w:val="00846762"/>
    <w:rsid w:val="00847827"/>
    <w:rsid w:val="00852FB7"/>
    <w:rsid w:val="008538F8"/>
    <w:rsid w:val="0085504F"/>
    <w:rsid w:val="00855531"/>
    <w:rsid w:val="00856059"/>
    <w:rsid w:val="00857DC9"/>
    <w:rsid w:val="00860AF1"/>
    <w:rsid w:val="00864EC8"/>
    <w:rsid w:val="0086786A"/>
    <w:rsid w:val="00867B36"/>
    <w:rsid w:val="008700DF"/>
    <w:rsid w:val="008709A3"/>
    <w:rsid w:val="0087259A"/>
    <w:rsid w:val="0087411C"/>
    <w:rsid w:val="00874F9B"/>
    <w:rsid w:val="008769F1"/>
    <w:rsid w:val="00881C7E"/>
    <w:rsid w:val="008827CC"/>
    <w:rsid w:val="00885384"/>
    <w:rsid w:val="008857CA"/>
    <w:rsid w:val="00885C2B"/>
    <w:rsid w:val="008864FA"/>
    <w:rsid w:val="0088723A"/>
    <w:rsid w:val="00887618"/>
    <w:rsid w:val="00891885"/>
    <w:rsid w:val="008932E1"/>
    <w:rsid w:val="00893779"/>
    <w:rsid w:val="00893A10"/>
    <w:rsid w:val="0089434A"/>
    <w:rsid w:val="0089536F"/>
    <w:rsid w:val="00895CFF"/>
    <w:rsid w:val="008A29B9"/>
    <w:rsid w:val="008A6A82"/>
    <w:rsid w:val="008A70F5"/>
    <w:rsid w:val="008A7F22"/>
    <w:rsid w:val="008B0F05"/>
    <w:rsid w:val="008B3324"/>
    <w:rsid w:val="008B674C"/>
    <w:rsid w:val="008B7474"/>
    <w:rsid w:val="008B78F7"/>
    <w:rsid w:val="008C09E1"/>
    <w:rsid w:val="008C2455"/>
    <w:rsid w:val="008C3DED"/>
    <w:rsid w:val="008C4B87"/>
    <w:rsid w:val="008C6B85"/>
    <w:rsid w:val="008D17A1"/>
    <w:rsid w:val="008D2658"/>
    <w:rsid w:val="008D2B9C"/>
    <w:rsid w:val="008D34E1"/>
    <w:rsid w:val="008D3705"/>
    <w:rsid w:val="008D37E6"/>
    <w:rsid w:val="008D705D"/>
    <w:rsid w:val="008D7DA8"/>
    <w:rsid w:val="008E25FE"/>
    <w:rsid w:val="008E44A5"/>
    <w:rsid w:val="008E502B"/>
    <w:rsid w:val="008E6206"/>
    <w:rsid w:val="008E69C2"/>
    <w:rsid w:val="008E6A9F"/>
    <w:rsid w:val="008E72C7"/>
    <w:rsid w:val="008F0B3D"/>
    <w:rsid w:val="008F2F80"/>
    <w:rsid w:val="008F3BF8"/>
    <w:rsid w:val="008F4341"/>
    <w:rsid w:val="00900F88"/>
    <w:rsid w:val="00902784"/>
    <w:rsid w:val="00903063"/>
    <w:rsid w:val="00903405"/>
    <w:rsid w:val="00903B77"/>
    <w:rsid w:val="00903E89"/>
    <w:rsid w:val="00905C4C"/>
    <w:rsid w:val="009060A3"/>
    <w:rsid w:val="0090640E"/>
    <w:rsid w:val="00912ACD"/>
    <w:rsid w:val="00912BA7"/>
    <w:rsid w:val="0091388F"/>
    <w:rsid w:val="009138F3"/>
    <w:rsid w:val="009158C6"/>
    <w:rsid w:val="009171BE"/>
    <w:rsid w:val="009172C7"/>
    <w:rsid w:val="00920610"/>
    <w:rsid w:val="00921A4B"/>
    <w:rsid w:val="0092381F"/>
    <w:rsid w:val="00923BC8"/>
    <w:rsid w:val="00924ADB"/>
    <w:rsid w:val="00924B4A"/>
    <w:rsid w:val="009268A2"/>
    <w:rsid w:val="00931E17"/>
    <w:rsid w:val="00935011"/>
    <w:rsid w:val="00935D64"/>
    <w:rsid w:val="00937FD4"/>
    <w:rsid w:val="00941DE4"/>
    <w:rsid w:val="00942689"/>
    <w:rsid w:val="00944AEC"/>
    <w:rsid w:val="00945EC9"/>
    <w:rsid w:val="0094637C"/>
    <w:rsid w:val="0095099A"/>
    <w:rsid w:val="00950F13"/>
    <w:rsid w:val="00951452"/>
    <w:rsid w:val="00952A4A"/>
    <w:rsid w:val="00953AB5"/>
    <w:rsid w:val="009557E0"/>
    <w:rsid w:val="00956AB2"/>
    <w:rsid w:val="00960478"/>
    <w:rsid w:val="00960753"/>
    <w:rsid w:val="00962A84"/>
    <w:rsid w:val="00963599"/>
    <w:rsid w:val="009665BB"/>
    <w:rsid w:val="009666A7"/>
    <w:rsid w:val="009709CA"/>
    <w:rsid w:val="00973223"/>
    <w:rsid w:val="009745AE"/>
    <w:rsid w:val="0097528F"/>
    <w:rsid w:val="00975659"/>
    <w:rsid w:val="00982655"/>
    <w:rsid w:val="00982775"/>
    <w:rsid w:val="00984FEA"/>
    <w:rsid w:val="0098529A"/>
    <w:rsid w:val="009870F0"/>
    <w:rsid w:val="00993306"/>
    <w:rsid w:val="00993C4C"/>
    <w:rsid w:val="00994022"/>
    <w:rsid w:val="00995EA3"/>
    <w:rsid w:val="00996757"/>
    <w:rsid w:val="009968FD"/>
    <w:rsid w:val="009A1A93"/>
    <w:rsid w:val="009A25AB"/>
    <w:rsid w:val="009A3B2C"/>
    <w:rsid w:val="009A3FBD"/>
    <w:rsid w:val="009A5592"/>
    <w:rsid w:val="009A66C9"/>
    <w:rsid w:val="009A6980"/>
    <w:rsid w:val="009A7B43"/>
    <w:rsid w:val="009B04D3"/>
    <w:rsid w:val="009B1423"/>
    <w:rsid w:val="009B331F"/>
    <w:rsid w:val="009B5CDF"/>
    <w:rsid w:val="009B7A63"/>
    <w:rsid w:val="009C0189"/>
    <w:rsid w:val="009C0787"/>
    <w:rsid w:val="009C0969"/>
    <w:rsid w:val="009C207E"/>
    <w:rsid w:val="009C3161"/>
    <w:rsid w:val="009C3D06"/>
    <w:rsid w:val="009C43C3"/>
    <w:rsid w:val="009C5F51"/>
    <w:rsid w:val="009C7701"/>
    <w:rsid w:val="009C7F60"/>
    <w:rsid w:val="009D1038"/>
    <w:rsid w:val="009D17F4"/>
    <w:rsid w:val="009D21EE"/>
    <w:rsid w:val="009D2EFF"/>
    <w:rsid w:val="009D321A"/>
    <w:rsid w:val="009D3283"/>
    <w:rsid w:val="009D338F"/>
    <w:rsid w:val="009D5927"/>
    <w:rsid w:val="009D5D49"/>
    <w:rsid w:val="009E0536"/>
    <w:rsid w:val="009E07A7"/>
    <w:rsid w:val="009E16FC"/>
    <w:rsid w:val="009E28C8"/>
    <w:rsid w:val="009E30A3"/>
    <w:rsid w:val="009E3114"/>
    <w:rsid w:val="009E35DA"/>
    <w:rsid w:val="009E48D9"/>
    <w:rsid w:val="009E7964"/>
    <w:rsid w:val="009E7E58"/>
    <w:rsid w:val="009F1156"/>
    <w:rsid w:val="009F17D6"/>
    <w:rsid w:val="009F3BB1"/>
    <w:rsid w:val="009F7FBA"/>
    <w:rsid w:val="00A00200"/>
    <w:rsid w:val="00A0157C"/>
    <w:rsid w:val="00A024E8"/>
    <w:rsid w:val="00A03049"/>
    <w:rsid w:val="00A0393B"/>
    <w:rsid w:val="00A057A9"/>
    <w:rsid w:val="00A05FE3"/>
    <w:rsid w:val="00A06286"/>
    <w:rsid w:val="00A066BB"/>
    <w:rsid w:val="00A0672E"/>
    <w:rsid w:val="00A077DB"/>
    <w:rsid w:val="00A07B02"/>
    <w:rsid w:val="00A160EB"/>
    <w:rsid w:val="00A177E0"/>
    <w:rsid w:val="00A2083F"/>
    <w:rsid w:val="00A23D93"/>
    <w:rsid w:val="00A24908"/>
    <w:rsid w:val="00A25F96"/>
    <w:rsid w:val="00A32657"/>
    <w:rsid w:val="00A32D66"/>
    <w:rsid w:val="00A32E90"/>
    <w:rsid w:val="00A34720"/>
    <w:rsid w:val="00A40A20"/>
    <w:rsid w:val="00A41064"/>
    <w:rsid w:val="00A41DAB"/>
    <w:rsid w:val="00A41F4C"/>
    <w:rsid w:val="00A425C6"/>
    <w:rsid w:val="00A42D10"/>
    <w:rsid w:val="00A44E2F"/>
    <w:rsid w:val="00A461C1"/>
    <w:rsid w:val="00A46BF0"/>
    <w:rsid w:val="00A478E9"/>
    <w:rsid w:val="00A47F6C"/>
    <w:rsid w:val="00A51036"/>
    <w:rsid w:val="00A638DB"/>
    <w:rsid w:val="00A644B2"/>
    <w:rsid w:val="00A64BE2"/>
    <w:rsid w:val="00A65BBB"/>
    <w:rsid w:val="00A660D6"/>
    <w:rsid w:val="00A66F3E"/>
    <w:rsid w:val="00A67749"/>
    <w:rsid w:val="00A67FAC"/>
    <w:rsid w:val="00A7162F"/>
    <w:rsid w:val="00A7319E"/>
    <w:rsid w:val="00A763DB"/>
    <w:rsid w:val="00A765C3"/>
    <w:rsid w:val="00A76C78"/>
    <w:rsid w:val="00A77193"/>
    <w:rsid w:val="00A809C2"/>
    <w:rsid w:val="00A816F9"/>
    <w:rsid w:val="00A825FE"/>
    <w:rsid w:val="00A86D65"/>
    <w:rsid w:val="00A86DAC"/>
    <w:rsid w:val="00A8768E"/>
    <w:rsid w:val="00A9033E"/>
    <w:rsid w:val="00A9039A"/>
    <w:rsid w:val="00A90419"/>
    <w:rsid w:val="00A90F14"/>
    <w:rsid w:val="00A91FDE"/>
    <w:rsid w:val="00A93932"/>
    <w:rsid w:val="00A94BF0"/>
    <w:rsid w:val="00A94EC1"/>
    <w:rsid w:val="00A95497"/>
    <w:rsid w:val="00A9695E"/>
    <w:rsid w:val="00A971A7"/>
    <w:rsid w:val="00AA01E7"/>
    <w:rsid w:val="00AA73B9"/>
    <w:rsid w:val="00AA76B2"/>
    <w:rsid w:val="00AB0185"/>
    <w:rsid w:val="00AB083E"/>
    <w:rsid w:val="00AB0BCE"/>
    <w:rsid w:val="00AB1645"/>
    <w:rsid w:val="00AB1CFE"/>
    <w:rsid w:val="00AB36F2"/>
    <w:rsid w:val="00AB4058"/>
    <w:rsid w:val="00AB4E5C"/>
    <w:rsid w:val="00AB5DEE"/>
    <w:rsid w:val="00AC26D6"/>
    <w:rsid w:val="00AC32D9"/>
    <w:rsid w:val="00AC5445"/>
    <w:rsid w:val="00AC6B56"/>
    <w:rsid w:val="00AC7D7B"/>
    <w:rsid w:val="00AD0BC7"/>
    <w:rsid w:val="00AD40BF"/>
    <w:rsid w:val="00AD4C6D"/>
    <w:rsid w:val="00AD5212"/>
    <w:rsid w:val="00AD5E63"/>
    <w:rsid w:val="00AD6D6A"/>
    <w:rsid w:val="00AE0F4E"/>
    <w:rsid w:val="00AE108C"/>
    <w:rsid w:val="00AE179B"/>
    <w:rsid w:val="00AE271B"/>
    <w:rsid w:val="00AE2EA5"/>
    <w:rsid w:val="00AE31B6"/>
    <w:rsid w:val="00AE4539"/>
    <w:rsid w:val="00AE6078"/>
    <w:rsid w:val="00AE6091"/>
    <w:rsid w:val="00AE6FFC"/>
    <w:rsid w:val="00AF12D7"/>
    <w:rsid w:val="00AF4195"/>
    <w:rsid w:val="00B04854"/>
    <w:rsid w:val="00B04A12"/>
    <w:rsid w:val="00B06784"/>
    <w:rsid w:val="00B1174B"/>
    <w:rsid w:val="00B1288B"/>
    <w:rsid w:val="00B1412B"/>
    <w:rsid w:val="00B1595C"/>
    <w:rsid w:val="00B15CEF"/>
    <w:rsid w:val="00B203C0"/>
    <w:rsid w:val="00B2068B"/>
    <w:rsid w:val="00B20C33"/>
    <w:rsid w:val="00B21B74"/>
    <w:rsid w:val="00B226C9"/>
    <w:rsid w:val="00B2309C"/>
    <w:rsid w:val="00B240F7"/>
    <w:rsid w:val="00B25B7D"/>
    <w:rsid w:val="00B26AB0"/>
    <w:rsid w:val="00B2749F"/>
    <w:rsid w:val="00B27EFE"/>
    <w:rsid w:val="00B32576"/>
    <w:rsid w:val="00B32A67"/>
    <w:rsid w:val="00B33F1D"/>
    <w:rsid w:val="00B35D8C"/>
    <w:rsid w:val="00B363D2"/>
    <w:rsid w:val="00B364B5"/>
    <w:rsid w:val="00B377BF"/>
    <w:rsid w:val="00B37E7F"/>
    <w:rsid w:val="00B425D6"/>
    <w:rsid w:val="00B4292C"/>
    <w:rsid w:val="00B4422D"/>
    <w:rsid w:val="00B45EC6"/>
    <w:rsid w:val="00B46586"/>
    <w:rsid w:val="00B465D1"/>
    <w:rsid w:val="00B50360"/>
    <w:rsid w:val="00B50401"/>
    <w:rsid w:val="00B51B70"/>
    <w:rsid w:val="00B524F4"/>
    <w:rsid w:val="00B5266B"/>
    <w:rsid w:val="00B53DD5"/>
    <w:rsid w:val="00B54C6C"/>
    <w:rsid w:val="00B57DF7"/>
    <w:rsid w:val="00B61D4F"/>
    <w:rsid w:val="00B621D5"/>
    <w:rsid w:val="00B6261A"/>
    <w:rsid w:val="00B64EE5"/>
    <w:rsid w:val="00B65171"/>
    <w:rsid w:val="00B65D5A"/>
    <w:rsid w:val="00B67AAE"/>
    <w:rsid w:val="00B703FF"/>
    <w:rsid w:val="00B70491"/>
    <w:rsid w:val="00B70804"/>
    <w:rsid w:val="00B71CEC"/>
    <w:rsid w:val="00B71F93"/>
    <w:rsid w:val="00B72A46"/>
    <w:rsid w:val="00B73435"/>
    <w:rsid w:val="00B74151"/>
    <w:rsid w:val="00B74D8A"/>
    <w:rsid w:val="00B76E5D"/>
    <w:rsid w:val="00B77342"/>
    <w:rsid w:val="00B77CAF"/>
    <w:rsid w:val="00B801FC"/>
    <w:rsid w:val="00B8106E"/>
    <w:rsid w:val="00B81407"/>
    <w:rsid w:val="00B828E2"/>
    <w:rsid w:val="00B83BA2"/>
    <w:rsid w:val="00B84A7B"/>
    <w:rsid w:val="00B86F91"/>
    <w:rsid w:val="00B90A31"/>
    <w:rsid w:val="00B90C10"/>
    <w:rsid w:val="00B92CE7"/>
    <w:rsid w:val="00B951E2"/>
    <w:rsid w:val="00B970E9"/>
    <w:rsid w:val="00BA0677"/>
    <w:rsid w:val="00BA2BA6"/>
    <w:rsid w:val="00BA35E3"/>
    <w:rsid w:val="00BA3AB9"/>
    <w:rsid w:val="00BA3EF2"/>
    <w:rsid w:val="00BA532F"/>
    <w:rsid w:val="00BB0FF1"/>
    <w:rsid w:val="00BB209E"/>
    <w:rsid w:val="00BB3A15"/>
    <w:rsid w:val="00BB3A1F"/>
    <w:rsid w:val="00BB5693"/>
    <w:rsid w:val="00BB65D0"/>
    <w:rsid w:val="00BB6E8D"/>
    <w:rsid w:val="00BB7D09"/>
    <w:rsid w:val="00BC02AE"/>
    <w:rsid w:val="00BC4368"/>
    <w:rsid w:val="00BC6B0F"/>
    <w:rsid w:val="00BC76A1"/>
    <w:rsid w:val="00BC7F47"/>
    <w:rsid w:val="00BD0863"/>
    <w:rsid w:val="00BD2034"/>
    <w:rsid w:val="00BD2B30"/>
    <w:rsid w:val="00BD3B45"/>
    <w:rsid w:val="00BD4505"/>
    <w:rsid w:val="00BD506D"/>
    <w:rsid w:val="00BD6F50"/>
    <w:rsid w:val="00BD74A7"/>
    <w:rsid w:val="00BE25B0"/>
    <w:rsid w:val="00BE3092"/>
    <w:rsid w:val="00BE31A3"/>
    <w:rsid w:val="00BE3EA4"/>
    <w:rsid w:val="00BE5EFD"/>
    <w:rsid w:val="00BE6813"/>
    <w:rsid w:val="00BE774B"/>
    <w:rsid w:val="00BF26F5"/>
    <w:rsid w:val="00BF362B"/>
    <w:rsid w:val="00BF5740"/>
    <w:rsid w:val="00BF643C"/>
    <w:rsid w:val="00BF70E4"/>
    <w:rsid w:val="00C01BCD"/>
    <w:rsid w:val="00C024F0"/>
    <w:rsid w:val="00C03097"/>
    <w:rsid w:val="00C0540E"/>
    <w:rsid w:val="00C06C35"/>
    <w:rsid w:val="00C076D5"/>
    <w:rsid w:val="00C102F4"/>
    <w:rsid w:val="00C1118B"/>
    <w:rsid w:val="00C1214E"/>
    <w:rsid w:val="00C13062"/>
    <w:rsid w:val="00C156EE"/>
    <w:rsid w:val="00C15A67"/>
    <w:rsid w:val="00C16CB9"/>
    <w:rsid w:val="00C17480"/>
    <w:rsid w:val="00C20641"/>
    <w:rsid w:val="00C20BE7"/>
    <w:rsid w:val="00C2154F"/>
    <w:rsid w:val="00C22977"/>
    <w:rsid w:val="00C23ED9"/>
    <w:rsid w:val="00C24773"/>
    <w:rsid w:val="00C2658B"/>
    <w:rsid w:val="00C266B0"/>
    <w:rsid w:val="00C267FE"/>
    <w:rsid w:val="00C3029A"/>
    <w:rsid w:val="00C318F0"/>
    <w:rsid w:val="00C32693"/>
    <w:rsid w:val="00C332D9"/>
    <w:rsid w:val="00C34F9C"/>
    <w:rsid w:val="00C34FBE"/>
    <w:rsid w:val="00C37BEC"/>
    <w:rsid w:val="00C410A5"/>
    <w:rsid w:val="00C42807"/>
    <w:rsid w:val="00C42A3E"/>
    <w:rsid w:val="00C4326A"/>
    <w:rsid w:val="00C441B6"/>
    <w:rsid w:val="00C458FD"/>
    <w:rsid w:val="00C50C4D"/>
    <w:rsid w:val="00C52498"/>
    <w:rsid w:val="00C5397A"/>
    <w:rsid w:val="00C54E4D"/>
    <w:rsid w:val="00C55225"/>
    <w:rsid w:val="00C56E3D"/>
    <w:rsid w:val="00C6168F"/>
    <w:rsid w:val="00C62221"/>
    <w:rsid w:val="00C635AD"/>
    <w:rsid w:val="00C643AC"/>
    <w:rsid w:val="00C64709"/>
    <w:rsid w:val="00C651CE"/>
    <w:rsid w:val="00C658CF"/>
    <w:rsid w:val="00C729A4"/>
    <w:rsid w:val="00C774C5"/>
    <w:rsid w:val="00C7799E"/>
    <w:rsid w:val="00C77A29"/>
    <w:rsid w:val="00C811F2"/>
    <w:rsid w:val="00C81552"/>
    <w:rsid w:val="00C82F41"/>
    <w:rsid w:val="00C9068A"/>
    <w:rsid w:val="00C90BB0"/>
    <w:rsid w:val="00C91336"/>
    <w:rsid w:val="00C9224C"/>
    <w:rsid w:val="00C92500"/>
    <w:rsid w:val="00C936AB"/>
    <w:rsid w:val="00C937E3"/>
    <w:rsid w:val="00C94905"/>
    <w:rsid w:val="00C94DF9"/>
    <w:rsid w:val="00C9581B"/>
    <w:rsid w:val="00CB07BD"/>
    <w:rsid w:val="00CB0D3D"/>
    <w:rsid w:val="00CB18BC"/>
    <w:rsid w:val="00CB6D68"/>
    <w:rsid w:val="00CC0BD8"/>
    <w:rsid w:val="00CC0F79"/>
    <w:rsid w:val="00CC1BF6"/>
    <w:rsid w:val="00CC20C5"/>
    <w:rsid w:val="00CC3166"/>
    <w:rsid w:val="00CC5CEB"/>
    <w:rsid w:val="00CC6522"/>
    <w:rsid w:val="00CC6791"/>
    <w:rsid w:val="00CD0A42"/>
    <w:rsid w:val="00CD1AD3"/>
    <w:rsid w:val="00CD2A4D"/>
    <w:rsid w:val="00CD55AD"/>
    <w:rsid w:val="00CD69BC"/>
    <w:rsid w:val="00CD71C6"/>
    <w:rsid w:val="00CD7285"/>
    <w:rsid w:val="00CD76AC"/>
    <w:rsid w:val="00CE043B"/>
    <w:rsid w:val="00CE1F52"/>
    <w:rsid w:val="00CE2A03"/>
    <w:rsid w:val="00CE3938"/>
    <w:rsid w:val="00CE40E0"/>
    <w:rsid w:val="00CE4909"/>
    <w:rsid w:val="00CE4A4B"/>
    <w:rsid w:val="00CE7290"/>
    <w:rsid w:val="00CE73ED"/>
    <w:rsid w:val="00CF24DB"/>
    <w:rsid w:val="00CF2B5A"/>
    <w:rsid w:val="00CF31B3"/>
    <w:rsid w:val="00CF3763"/>
    <w:rsid w:val="00CF4971"/>
    <w:rsid w:val="00CF5320"/>
    <w:rsid w:val="00CF6AC6"/>
    <w:rsid w:val="00CF6ACF"/>
    <w:rsid w:val="00CF7243"/>
    <w:rsid w:val="00CF7F3A"/>
    <w:rsid w:val="00D023E9"/>
    <w:rsid w:val="00D03529"/>
    <w:rsid w:val="00D039FA"/>
    <w:rsid w:val="00D04CC3"/>
    <w:rsid w:val="00D05031"/>
    <w:rsid w:val="00D05619"/>
    <w:rsid w:val="00D05CCF"/>
    <w:rsid w:val="00D07D7B"/>
    <w:rsid w:val="00D07E16"/>
    <w:rsid w:val="00D10041"/>
    <w:rsid w:val="00D1040B"/>
    <w:rsid w:val="00D10B07"/>
    <w:rsid w:val="00D10C00"/>
    <w:rsid w:val="00D12AF6"/>
    <w:rsid w:val="00D1301D"/>
    <w:rsid w:val="00D140FD"/>
    <w:rsid w:val="00D14407"/>
    <w:rsid w:val="00D15F46"/>
    <w:rsid w:val="00D162C7"/>
    <w:rsid w:val="00D2165B"/>
    <w:rsid w:val="00D21DE7"/>
    <w:rsid w:val="00D23ED6"/>
    <w:rsid w:val="00D27689"/>
    <w:rsid w:val="00D27986"/>
    <w:rsid w:val="00D334C2"/>
    <w:rsid w:val="00D3354C"/>
    <w:rsid w:val="00D34C12"/>
    <w:rsid w:val="00D37460"/>
    <w:rsid w:val="00D37EC4"/>
    <w:rsid w:val="00D40696"/>
    <w:rsid w:val="00D40E4A"/>
    <w:rsid w:val="00D420AB"/>
    <w:rsid w:val="00D432E3"/>
    <w:rsid w:val="00D43650"/>
    <w:rsid w:val="00D4402F"/>
    <w:rsid w:val="00D457CF"/>
    <w:rsid w:val="00D46898"/>
    <w:rsid w:val="00D5131F"/>
    <w:rsid w:val="00D52E3E"/>
    <w:rsid w:val="00D54B3C"/>
    <w:rsid w:val="00D54FA4"/>
    <w:rsid w:val="00D552A2"/>
    <w:rsid w:val="00D5556A"/>
    <w:rsid w:val="00D56F06"/>
    <w:rsid w:val="00D64519"/>
    <w:rsid w:val="00D64CDD"/>
    <w:rsid w:val="00D65206"/>
    <w:rsid w:val="00D66B98"/>
    <w:rsid w:val="00D67790"/>
    <w:rsid w:val="00D67BBA"/>
    <w:rsid w:val="00D7042B"/>
    <w:rsid w:val="00D71165"/>
    <w:rsid w:val="00D72719"/>
    <w:rsid w:val="00D7355D"/>
    <w:rsid w:val="00D74060"/>
    <w:rsid w:val="00D80352"/>
    <w:rsid w:val="00D807D7"/>
    <w:rsid w:val="00D80F6D"/>
    <w:rsid w:val="00D8310B"/>
    <w:rsid w:val="00D8575B"/>
    <w:rsid w:val="00D86615"/>
    <w:rsid w:val="00D90514"/>
    <w:rsid w:val="00D90B68"/>
    <w:rsid w:val="00D91935"/>
    <w:rsid w:val="00D91C16"/>
    <w:rsid w:val="00D92476"/>
    <w:rsid w:val="00D95041"/>
    <w:rsid w:val="00D95332"/>
    <w:rsid w:val="00D96335"/>
    <w:rsid w:val="00DA02F3"/>
    <w:rsid w:val="00DA05C1"/>
    <w:rsid w:val="00DA1881"/>
    <w:rsid w:val="00DA306A"/>
    <w:rsid w:val="00DA5011"/>
    <w:rsid w:val="00DA5120"/>
    <w:rsid w:val="00DB0211"/>
    <w:rsid w:val="00DB1383"/>
    <w:rsid w:val="00DB1755"/>
    <w:rsid w:val="00DB17C2"/>
    <w:rsid w:val="00DB4661"/>
    <w:rsid w:val="00DB543A"/>
    <w:rsid w:val="00DC0FDC"/>
    <w:rsid w:val="00DC1A1E"/>
    <w:rsid w:val="00DC53FF"/>
    <w:rsid w:val="00DC56D9"/>
    <w:rsid w:val="00DC5FFB"/>
    <w:rsid w:val="00DC7456"/>
    <w:rsid w:val="00DD10CA"/>
    <w:rsid w:val="00DD2099"/>
    <w:rsid w:val="00DD3012"/>
    <w:rsid w:val="00DD4073"/>
    <w:rsid w:val="00DD5C0D"/>
    <w:rsid w:val="00DD79C0"/>
    <w:rsid w:val="00DE1077"/>
    <w:rsid w:val="00DE1956"/>
    <w:rsid w:val="00DE2212"/>
    <w:rsid w:val="00DE2A67"/>
    <w:rsid w:val="00DE399A"/>
    <w:rsid w:val="00DE3C1B"/>
    <w:rsid w:val="00DE3C8B"/>
    <w:rsid w:val="00DE401F"/>
    <w:rsid w:val="00DE4380"/>
    <w:rsid w:val="00DE44C0"/>
    <w:rsid w:val="00DE7E38"/>
    <w:rsid w:val="00DE7F88"/>
    <w:rsid w:val="00DF097E"/>
    <w:rsid w:val="00DF199F"/>
    <w:rsid w:val="00DF1BF5"/>
    <w:rsid w:val="00DF22C1"/>
    <w:rsid w:val="00DF3EEF"/>
    <w:rsid w:val="00DF3EF8"/>
    <w:rsid w:val="00DF5245"/>
    <w:rsid w:val="00DF6EE2"/>
    <w:rsid w:val="00DF70AB"/>
    <w:rsid w:val="00DF715B"/>
    <w:rsid w:val="00E00058"/>
    <w:rsid w:val="00E00374"/>
    <w:rsid w:val="00E00D3E"/>
    <w:rsid w:val="00E0127F"/>
    <w:rsid w:val="00E0182E"/>
    <w:rsid w:val="00E02B1A"/>
    <w:rsid w:val="00E034E5"/>
    <w:rsid w:val="00E04133"/>
    <w:rsid w:val="00E05AB1"/>
    <w:rsid w:val="00E05CD6"/>
    <w:rsid w:val="00E05E4C"/>
    <w:rsid w:val="00E06995"/>
    <w:rsid w:val="00E07AF6"/>
    <w:rsid w:val="00E07B51"/>
    <w:rsid w:val="00E107B2"/>
    <w:rsid w:val="00E10BB6"/>
    <w:rsid w:val="00E117F6"/>
    <w:rsid w:val="00E11B18"/>
    <w:rsid w:val="00E11C27"/>
    <w:rsid w:val="00E171FB"/>
    <w:rsid w:val="00E1769E"/>
    <w:rsid w:val="00E20289"/>
    <w:rsid w:val="00E23649"/>
    <w:rsid w:val="00E26AA6"/>
    <w:rsid w:val="00E307BD"/>
    <w:rsid w:val="00E30EF5"/>
    <w:rsid w:val="00E3174C"/>
    <w:rsid w:val="00E33C0F"/>
    <w:rsid w:val="00E3525A"/>
    <w:rsid w:val="00E358EB"/>
    <w:rsid w:val="00E36044"/>
    <w:rsid w:val="00E36391"/>
    <w:rsid w:val="00E40D55"/>
    <w:rsid w:val="00E41050"/>
    <w:rsid w:val="00E419C8"/>
    <w:rsid w:val="00E45B99"/>
    <w:rsid w:val="00E47B38"/>
    <w:rsid w:val="00E47C28"/>
    <w:rsid w:val="00E507E5"/>
    <w:rsid w:val="00E514AF"/>
    <w:rsid w:val="00E53608"/>
    <w:rsid w:val="00E536B6"/>
    <w:rsid w:val="00E5576A"/>
    <w:rsid w:val="00E56B27"/>
    <w:rsid w:val="00E56E04"/>
    <w:rsid w:val="00E601CC"/>
    <w:rsid w:val="00E61DE4"/>
    <w:rsid w:val="00E61F8F"/>
    <w:rsid w:val="00E630E7"/>
    <w:rsid w:val="00E63463"/>
    <w:rsid w:val="00E63E6B"/>
    <w:rsid w:val="00E6484B"/>
    <w:rsid w:val="00E65058"/>
    <w:rsid w:val="00E66E3F"/>
    <w:rsid w:val="00E66F60"/>
    <w:rsid w:val="00E67011"/>
    <w:rsid w:val="00E7180C"/>
    <w:rsid w:val="00E71953"/>
    <w:rsid w:val="00E723B5"/>
    <w:rsid w:val="00E72B33"/>
    <w:rsid w:val="00E73696"/>
    <w:rsid w:val="00E76ECE"/>
    <w:rsid w:val="00E806AB"/>
    <w:rsid w:val="00E81823"/>
    <w:rsid w:val="00E818EE"/>
    <w:rsid w:val="00E835AC"/>
    <w:rsid w:val="00E85A5B"/>
    <w:rsid w:val="00E8639E"/>
    <w:rsid w:val="00E86D6C"/>
    <w:rsid w:val="00E873E7"/>
    <w:rsid w:val="00E879E1"/>
    <w:rsid w:val="00E936A4"/>
    <w:rsid w:val="00E93B4C"/>
    <w:rsid w:val="00E94162"/>
    <w:rsid w:val="00E94F41"/>
    <w:rsid w:val="00E9799C"/>
    <w:rsid w:val="00EA0907"/>
    <w:rsid w:val="00EA1550"/>
    <w:rsid w:val="00EA1879"/>
    <w:rsid w:val="00EA43CD"/>
    <w:rsid w:val="00EA4A8F"/>
    <w:rsid w:val="00EB057B"/>
    <w:rsid w:val="00EB1318"/>
    <w:rsid w:val="00EB189D"/>
    <w:rsid w:val="00EB1D85"/>
    <w:rsid w:val="00EB4835"/>
    <w:rsid w:val="00EB5202"/>
    <w:rsid w:val="00EB5D4E"/>
    <w:rsid w:val="00EB6FE9"/>
    <w:rsid w:val="00EC0837"/>
    <w:rsid w:val="00EC15F8"/>
    <w:rsid w:val="00EC3B54"/>
    <w:rsid w:val="00EC5F0D"/>
    <w:rsid w:val="00ED2B11"/>
    <w:rsid w:val="00ED5739"/>
    <w:rsid w:val="00ED63F1"/>
    <w:rsid w:val="00ED665D"/>
    <w:rsid w:val="00ED7009"/>
    <w:rsid w:val="00ED75D9"/>
    <w:rsid w:val="00EE16CF"/>
    <w:rsid w:val="00EE1757"/>
    <w:rsid w:val="00EE2B2F"/>
    <w:rsid w:val="00EE3B49"/>
    <w:rsid w:val="00EE3CC0"/>
    <w:rsid w:val="00EF1A4E"/>
    <w:rsid w:val="00EF3E19"/>
    <w:rsid w:val="00EF4177"/>
    <w:rsid w:val="00EF492C"/>
    <w:rsid w:val="00EF5A8D"/>
    <w:rsid w:val="00EF6ACF"/>
    <w:rsid w:val="00F00AA1"/>
    <w:rsid w:val="00F013CE"/>
    <w:rsid w:val="00F01B8B"/>
    <w:rsid w:val="00F04509"/>
    <w:rsid w:val="00F05175"/>
    <w:rsid w:val="00F0541C"/>
    <w:rsid w:val="00F057F2"/>
    <w:rsid w:val="00F064BC"/>
    <w:rsid w:val="00F1042B"/>
    <w:rsid w:val="00F11B92"/>
    <w:rsid w:val="00F128EA"/>
    <w:rsid w:val="00F14B43"/>
    <w:rsid w:val="00F170F4"/>
    <w:rsid w:val="00F20D8E"/>
    <w:rsid w:val="00F22B45"/>
    <w:rsid w:val="00F27523"/>
    <w:rsid w:val="00F30483"/>
    <w:rsid w:val="00F30775"/>
    <w:rsid w:val="00F31050"/>
    <w:rsid w:val="00F32FDD"/>
    <w:rsid w:val="00F33546"/>
    <w:rsid w:val="00F33A16"/>
    <w:rsid w:val="00F35EE2"/>
    <w:rsid w:val="00F374BA"/>
    <w:rsid w:val="00F37718"/>
    <w:rsid w:val="00F41F2C"/>
    <w:rsid w:val="00F42A9F"/>
    <w:rsid w:val="00F4599A"/>
    <w:rsid w:val="00F45D0E"/>
    <w:rsid w:val="00F46454"/>
    <w:rsid w:val="00F50B0F"/>
    <w:rsid w:val="00F534A3"/>
    <w:rsid w:val="00F543F9"/>
    <w:rsid w:val="00F55460"/>
    <w:rsid w:val="00F67BD1"/>
    <w:rsid w:val="00F71957"/>
    <w:rsid w:val="00F72557"/>
    <w:rsid w:val="00F73252"/>
    <w:rsid w:val="00F73E28"/>
    <w:rsid w:val="00F757FB"/>
    <w:rsid w:val="00F76B05"/>
    <w:rsid w:val="00F77FC7"/>
    <w:rsid w:val="00F819CC"/>
    <w:rsid w:val="00F82872"/>
    <w:rsid w:val="00F8502A"/>
    <w:rsid w:val="00F85CFF"/>
    <w:rsid w:val="00F86F8A"/>
    <w:rsid w:val="00F91581"/>
    <w:rsid w:val="00F91971"/>
    <w:rsid w:val="00F9387C"/>
    <w:rsid w:val="00F9729E"/>
    <w:rsid w:val="00FA6EDE"/>
    <w:rsid w:val="00FB134D"/>
    <w:rsid w:val="00FB1D92"/>
    <w:rsid w:val="00FB2801"/>
    <w:rsid w:val="00FB3D1F"/>
    <w:rsid w:val="00FB52C8"/>
    <w:rsid w:val="00FB577C"/>
    <w:rsid w:val="00FB650C"/>
    <w:rsid w:val="00FB6AEF"/>
    <w:rsid w:val="00FB728D"/>
    <w:rsid w:val="00FC0A72"/>
    <w:rsid w:val="00FC3122"/>
    <w:rsid w:val="00FC3F83"/>
    <w:rsid w:val="00FC4C2A"/>
    <w:rsid w:val="00FC5A8B"/>
    <w:rsid w:val="00FC62B2"/>
    <w:rsid w:val="00FC653A"/>
    <w:rsid w:val="00FC6541"/>
    <w:rsid w:val="00FC662F"/>
    <w:rsid w:val="00FD08D3"/>
    <w:rsid w:val="00FD1F50"/>
    <w:rsid w:val="00FD3160"/>
    <w:rsid w:val="00FD328D"/>
    <w:rsid w:val="00FD34BF"/>
    <w:rsid w:val="00FD5B32"/>
    <w:rsid w:val="00FD5BC3"/>
    <w:rsid w:val="00FD7F37"/>
    <w:rsid w:val="00FE2518"/>
    <w:rsid w:val="00FE34F3"/>
    <w:rsid w:val="00FE3F1C"/>
    <w:rsid w:val="00FE47D6"/>
    <w:rsid w:val="00FE58C8"/>
    <w:rsid w:val="00FF0D1B"/>
    <w:rsid w:val="00FF0DDF"/>
    <w:rsid w:val="00FF123A"/>
    <w:rsid w:val="00FF3151"/>
    <w:rsid w:val="00FF320A"/>
    <w:rsid w:val="00FF4050"/>
    <w:rsid w:val="00FF40C3"/>
    <w:rsid w:val="00FF420B"/>
    <w:rsid w:val="00FF4CCE"/>
    <w:rsid w:val="00FF663E"/>
    <w:rsid w:val="00FF69F1"/>
    <w:rsid w:val="00FF6D49"/>
    <w:rsid w:val="00FF6D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AB"/>
    <w:rPr>
      <w:sz w:val="24"/>
      <w:szCs w:val="24"/>
    </w:rPr>
  </w:style>
  <w:style w:type="paragraph" w:styleId="1">
    <w:name w:val="heading 1"/>
    <w:basedOn w:val="a"/>
    <w:next w:val="a"/>
    <w:link w:val="1Char"/>
    <w:qFormat/>
    <w:rsid w:val="005B6E0D"/>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993306"/>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AB5DEE"/>
    <w:pPr>
      <w:keepNext/>
      <w:spacing w:before="240" w:after="60"/>
      <w:outlineLvl w:val="2"/>
    </w:pPr>
    <w:rPr>
      <w:rFonts w:ascii="Arial" w:hAnsi="Arial" w:cs="Arial"/>
      <w:b/>
      <w:bCs/>
      <w:sz w:val="26"/>
      <w:szCs w:val="26"/>
    </w:rPr>
  </w:style>
  <w:style w:type="paragraph" w:styleId="4">
    <w:name w:val="heading 4"/>
    <w:basedOn w:val="a"/>
    <w:next w:val="a"/>
    <w:link w:val="4Char"/>
    <w:qFormat/>
    <w:rsid w:val="00687235"/>
    <w:pPr>
      <w:keepNext/>
      <w:jc w:val="both"/>
      <w:outlineLvl w:val="3"/>
    </w:pPr>
    <w:rPr>
      <w:rFonts w:ascii="Arial Narrow" w:hAnsi="Arial Narrow"/>
      <w:b/>
      <w:color w:val="003366"/>
      <w:sz w:val="22"/>
      <w:szCs w:val="22"/>
    </w:rPr>
  </w:style>
  <w:style w:type="paragraph" w:styleId="5">
    <w:name w:val="heading 5"/>
    <w:basedOn w:val="10"/>
    <w:next w:val="10"/>
    <w:link w:val="5Char"/>
    <w:qFormat/>
    <w:rsid w:val="0006551E"/>
    <w:pPr>
      <w:keepNext/>
      <w:keepLines/>
      <w:spacing w:before="220" w:after="40"/>
      <w:contextualSpacing/>
      <w:outlineLvl w:val="4"/>
    </w:pPr>
    <w:rPr>
      <w:b/>
      <w:sz w:val="22"/>
      <w:szCs w:val="22"/>
    </w:rPr>
  </w:style>
  <w:style w:type="paragraph" w:styleId="6">
    <w:name w:val="heading 6"/>
    <w:basedOn w:val="a"/>
    <w:next w:val="a"/>
    <w:link w:val="6Char"/>
    <w:qFormat/>
    <w:rsid w:val="00687235"/>
    <w:pPr>
      <w:keepNext/>
      <w:jc w:val="both"/>
      <w:outlineLvl w:val="5"/>
    </w:pPr>
    <w:rPr>
      <w:rFonts w:ascii="Arial Narrow" w:hAnsi="Arial Narrow"/>
      <w:b/>
      <w:sz w:val="22"/>
      <w:szCs w:val="22"/>
    </w:rPr>
  </w:style>
  <w:style w:type="paragraph" w:styleId="7">
    <w:name w:val="heading 7"/>
    <w:basedOn w:val="a"/>
    <w:next w:val="a0"/>
    <w:link w:val="7Char"/>
    <w:qFormat/>
    <w:rsid w:val="00BD6F50"/>
    <w:pPr>
      <w:keepNext/>
      <w:tabs>
        <w:tab w:val="num" w:pos="0"/>
      </w:tabs>
      <w:suppressAutoHyphens/>
      <w:ind w:left="1296" w:hanging="1296"/>
      <w:jc w:val="both"/>
      <w:outlineLvl w:val="6"/>
    </w:pPr>
    <w:rPr>
      <w:rFonts w:ascii="Arial Narrow" w:eastAsia="SimSun" w:hAnsi="Arial Narrow" w:cs="Mangal"/>
      <w:b/>
      <w:i/>
      <w:kern w:val="1"/>
      <w:sz w:val="22"/>
      <w:szCs w:val="22"/>
      <w:lang w:eastAsia="hi-IN" w:bidi="hi-IN"/>
    </w:rPr>
  </w:style>
  <w:style w:type="paragraph" w:styleId="8">
    <w:name w:val="heading 8"/>
    <w:basedOn w:val="a"/>
    <w:next w:val="a"/>
    <w:link w:val="8Char"/>
    <w:qFormat/>
    <w:rsid w:val="00687235"/>
    <w:pPr>
      <w:keepNext/>
      <w:spacing w:before="100" w:beforeAutospacing="1" w:after="100" w:afterAutospacing="1"/>
      <w:jc w:val="both"/>
      <w:outlineLvl w:val="7"/>
    </w:pPr>
    <w:rPr>
      <w:rFonts w:ascii="Arial Narrow" w:hAnsi="Arial Narrow"/>
      <w:b/>
      <w:sz w:val="16"/>
      <w:szCs w:val="16"/>
    </w:rPr>
  </w:style>
  <w:style w:type="paragraph" w:styleId="9">
    <w:name w:val="heading 9"/>
    <w:basedOn w:val="a"/>
    <w:next w:val="a0"/>
    <w:link w:val="9Char"/>
    <w:qFormat/>
    <w:rsid w:val="00BD6F50"/>
    <w:pPr>
      <w:keepNext/>
      <w:tabs>
        <w:tab w:val="num" w:pos="0"/>
      </w:tabs>
      <w:suppressAutoHyphens/>
      <w:ind w:left="1584" w:hanging="1584"/>
      <w:jc w:val="both"/>
      <w:outlineLvl w:val="8"/>
    </w:pPr>
    <w:rPr>
      <w:rFonts w:ascii="Arial Narrow" w:eastAsia="SimSun" w:hAnsi="Arial Narrow" w:cs="Mangal"/>
      <w:b/>
      <w:color w:val="000080"/>
      <w:kern w:val="1"/>
      <w:szCs w:val="22"/>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AD40BF"/>
    <w:rPr>
      <w:rFonts w:ascii="Arial" w:hAnsi="Arial" w:cs="Arial"/>
      <w:b/>
      <w:bCs/>
      <w:kern w:val="32"/>
      <w:sz w:val="32"/>
      <w:szCs w:val="32"/>
    </w:rPr>
  </w:style>
  <w:style w:type="character" w:customStyle="1" w:styleId="2Char">
    <w:name w:val="Επικεφαλίδα 2 Char"/>
    <w:basedOn w:val="a1"/>
    <w:link w:val="2"/>
    <w:rsid w:val="00DB1755"/>
    <w:rPr>
      <w:rFonts w:ascii="Arial" w:hAnsi="Arial" w:cs="Arial"/>
      <w:b/>
      <w:bCs/>
      <w:i/>
      <w:iCs/>
      <w:sz w:val="28"/>
      <w:szCs w:val="28"/>
    </w:rPr>
  </w:style>
  <w:style w:type="character" w:customStyle="1" w:styleId="3Char">
    <w:name w:val="Επικεφαλίδα 3 Char"/>
    <w:basedOn w:val="a1"/>
    <w:link w:val="3"/>
    <w:rsid w:val="006D2901"/>
    <w:rPr>
      <w:rFonts w:ascii="Arial" w:hAnsi="Arial" w:cs="Arial"/>
      <w:b/>
      <w:bCs/>
      <w:sz w:val="26"/>
      <w:szCs w:val="26"/>
    </w:rPr>
  </w:style>
  <w:style w:type="character" w:customStyle="1" w:styleId="4Char">
    <w:name w:val="Επικεφαλίδα 4 Char"/>
    <w:basedOn w:val="a1"/>
    <w:link w:val="4"/>
    <w:rsid w:val="00AD40BF"/>
    <w:rPr>
      <w:rFonts w:ascii="Arial Narrow" w:hAnsi="Arial Narrow"/>
      <w:b/>
      <w:color w:val="003366"/>
      <w:sz w:val="22"/>
      <w:szCs w:val="22"/>
    </w:rPr>
  </w:style>
  <w:style w:type="paragraph" w:customStyle="1" w:styleId="10">
    <w:name w:val="Βασικό1"/>
    <w:rsid w:val="0006551E"/>
    <w:rPr>
      <w:color w:val="000000"/>
      <w:sz w:val="24"/>
      <w:szCs w:val="24"/>
    </w:rPr>
  </w:style>
  <w:style w:type="character" w:customStyle="1" w:styleId="5Char">
    <w:name w:val="Επικεφαλίδα 5 Char"/>
    <w:basedOn w:val="a1"/>
    <w:link w:val="5"/>
    <w:rsid w:val="0006551E"/>
    <w:rPr>
      <w:b/>
      <w:color w:val="000000"/>
      <w:sz w:val="22"/>
      <w:szCs w:val="22"/>
    </w:rPr>
  </w:style>
  <w:style w:type="character" w:customStyle="1" w:styleId="6Char">
    <w:name w:val="Επικεφαλίδα 6 Char"/>
    <w:basedOn w:val="a1"/>
    <w:link w:val="6"/>
    <w:rsid w:val="00AD40BF"/>
    <w:rPr>
      <w:rFonts w:ascii="Arial Narrow" w:hAnsi="Arial Narrow"/>
      <w:b/>
      <w:sz w:val="22"/>
      <w:szCs w:val="22"/>
    </w:rPr>
  </w:style>
  <w:style w:type="character" w:customStyle="1" w:styleId="8Char">
    <w:name w:val="Επικεφαλίδα 8 Char"/>
    <w:basedOn w:val="a1"/>
    <w:link w:val="8"/>
    <w:rsid w:val="00AD40BF"/>
    <w:rPr>
      <w:rFonts w:ascii="Arial Narrow" w:hAnsi="Arial Narrow"/>
      <w:b/>
      <w:sz w:val="16"/>
      <w:szCs w:val="16"/>
    </w:rPr>
  </w:style>
  <w:style w:type="paragraph" w:styleId="a4">
    <w:name w:val="header"/>
    <w:basedOn w:val="a"/>
    <w:link w:val="Char"/>
    <w:rsid w:val="00D40E4A"/>
    <w:pPr>
      <w:tabs>
        <w:tab w:val="center" w:pos="4153"/>
        <w:tab w:val="right" w:pos="8306"/>
      </w:tabs>
    </w:pPr>
  </w:style>
  <w:style w:type="character" w:customStyle="1" w:styleId="Char">
    <w:name w:val="Κεφαλίδα Char"/>
    <w:basedOn w:val="a1"/>
    <w:link w:val="a4"/>
    <w:rsid w:val="0006551E"/>
    <w:rPr>
      <w:sz w:val="24"/>
      <w:szCs w:val="24"/>
    </w:rPr>
  </w:style>
  <w:style w:type="paragraph" w:styleId="a5">
    <w:name w:val="footer"/>
    <w:basedOn w:val="a"/>
    <w:link w:val="Char0"/>
    <w:rsid w:val="00D40E4A"/>
    <w:pPr>
      <w:tabs>
        <w:tab w:val="center" w:pos="4153"/>
        <w:tab w:val="right" w:pos="8306"/>
      </w:tabs>
    </w:pPr>
  </w:style>
  <w:style w:type="character" w:customStyle="1" w:styleId="Char0">
    <w:name w:val="Υποσέλιδο Char"/>
    <w:basedOn w:val="a1"/>
    <w:link w:val="a5"/>
    <w:rsid w:val="0006551E"/>
    <w:rPr>
      <w:sz w:val="24"/>
      <w:szCs w:val="24"/>
    </w:rPr>
  </w:style>
  <w:style w:type="character" w:styleId="a6">
    <w:name w:val="page number"/>
    <w:basedOn w:val="a1"/>
    <w:rsid w:val="00D40E4A"/>
  </w:style>
  <w:style w:type="paragraph" w:styleId="a7">
    <w:name w:val="Balloon Text"/>
    <w:basedOn w:val="a"/>
    <w:link w:val="Char1"/>
    <w:uiPriority w:val="99"/>
    <w:semiHidden/>
    <w:rsid w:val="001561CD"/>
    <w:rPr>
      <w:rFonts w:ascii="Tahoma" w:hAnsi="Tahoma" w:cs="Tahoma"/>
      <w:sz w:val="16"/>
      <w:szCs w:val="16"/>
    </w:rPr>
  </w:style>
  <w:style w:type="character" w:customStyle="1" w:styleId="Char1">
    <w:name w:val="Κείμενο πλαισίου Char"/>
    <w:basedOn w:val="a1"/>
    <w:link w:val="a7"/>
    <w:uiPriority w:val="99"/>
    <w:semiHidden/>
    <w:rsid w:val="006D2901"/>
    <w:rPr>
      <w:rFonts w:ascii="Tahoma" w:hAnsi="Tahoma" w:cs="Tahoma"/>
      <w:sz w:val="16"/>
      <w:szCs w:val="16"/>
    </w:rPr>
  </w:style>
  <w:style w:type="paragraph" w:styleId="a0">
    <w:name w:val="Body Text"/>
    <w:basedOn w:val="a"/>
    <w:link w:val="Char2"/>
    <w:rsid w:val="00687235"/>
    <w:pPr>
      <w:jc w:val="both"/>
    </w:pPr>
    <w:rPr>
      <w:sz w:val="22"/>
      <w:szCs w:val="22"/>
    </w:rPr>
  </w:style>
  <w:style w:type="character" w:customStyle="1" w:styleId="Char2">
    <w:name w:val="Σώμα κειμένου Char"/>
    <w:basedOn w:val="a1"/>
    <w:link w:val="a0"/>
    <w:rsid w:val="006D2901"/>
    <w:rPr>
      <w:sz w:val="22"/>
      <w:szCs w:val="22"/>
    </w:rPr>
  </w:style>
  <w:style w:type="paragraph" w:styleId="20">
    <w:name w:val="Body Text Indent 2"/>
    <w:basedOn w:val="a"/>
    <w:link w:val="2Char0"/>
    <w:rsid w:val="00687235"/>
    <w:pPr>
      <w:ind w:left="284"/>
      <w:jc w:val="both"/>
    </w:pPr>
    <w:rPr>
      <w:sz w:val="22"/>
      <w:szCs w:val="22"/>
    </w:rPr>
  </w:style>
  <w:style w:type="character" w:customStyle="1" w:styleId="2Char0">
    <w:name w:val="Σώμα κείμενου με εσοχή 2 Char"/>
    <w:basedOn w:val="a1"/>
    <w:link w:val="20"/>
    <w:rsid w:val="00AD40BF"/>
    <w:rPr>
      <w:sz w:val="22"/>
      <w:szCs w:val="22"/>
    </w:rPr>
  </w:style>
  <w:style w:type="paragraph" w:styleId="21">
    <w:name w:val="Body Text 2"/>
    <w:basedOn w:val="a"/>
    <w:link w:val="2Char1"/>
    <w:rsid w:val="00687235"/>
    <w:pPr>
      <w:spacing w:after="120" w:line="480" w:lineRule="auto"/>
    </w:pPr>
  </w:style>
  <w:style w:type="character" w:customStyle="1" w:styleId="2Char1">
    <w:name w:val="Σώμα κείμενου 2 Char"/>
    <w:basedOn w:val="a1"/>
    <w:link w:val="21"/>
    <w:rsid w:val="00AD40BF"/>
    <w:rPr>
      <w:sz w:val="24"/>
      <w:szCs w:val="24"/>
    </w:rPr>
  </w:style>
  <w:style w:type="paragraph" w:styleId="30">
    <w:name w:val="Body Text 3"/>
    <w:basedOn w:val="a"/>
    <w:link w:val="3Char0"/>
    <w:rsid w:val="00687235"/>
    <w:pPr>
      <w:spacing w:after="120"/>
    </w:pPr>
    <w:rPr>
      <w:sz w:val="16"/>
      <w:szCs w:val="16"/>
      <w:lang w:val="en-US"/>
    </w:rPr>
  </w:style>
  <w:style w:type="character" w:customStyle="1" w:styleId="3Char0">
    <w:name w:val="Σώμα κείμενου 3 Char"/>
    <w:basedOn w:val="a1"/>
    <w:link w:val="30"/>
    <w:rsid w:val="00AD40BF"/>
    <w:rPr>
      <w:sz w:val="16"/>
      <w:szCs w:val="16"/>
      <w:lang w:val="en-US"/>
    </w:rPr>
  </w:style>
  <w:style w:type="paragraph" w:styleId="31">
    <w:name w:val="Body Text Indent 3"/>
    <w:basedOn w:val="a"/>
    <w:link w:val="3Char1"/>
    <w:rsid w:val="00687235"/>
    <w:pPr>
      <w:ind w:firstLine="720"/>
      <w:jc w:val="both"/>
    </w:pPr>
    <w:rPr>
      <w:sz w:val="22"/>
      <w:szCs w:val="22"/>
    </w:rPr>
  </w:style>
  <w:style w:type="character" w:customStyle="1" w:styleId="3Char1">
    <w:name w:val="Σώμα κείμενου με εσοχή 3 Char"/>
    <w:basedOn w:val="a1"/>
    <w:link w:val="31"/>
    <w:rsid w:val="00AD40BF"/>
    <w:rPr>
      <w:sz w:val="22"/>
      <w:szCs w:val="22"/>
    </w:rPr>
  </w:style>
  <w:style w:type="paragraph" w:styleId="a8">
    <w:name w:val="footnote text"/>
    <w:aliases w:val="lábléc,Footnote,Fußnote,C26 Footnote body, Char,Footnote Text Char,Footnote Text Char1 Char,Footnote Text Char Char Char,Footnote Char Char Char,Fußnote Char Char Char,FSR footnote Char Char Char,lábléc Char Char Char,Footnote Char"/>
    <w:basedOn w:val="a"/>
    <w:link w:val="Char3"/>
    <w:uiPriority w:val="99"/>
    <w:rsid w:val="000E6FEF"/>
    <w:rPr>
      <w:sz w:val="20"/>
      <w:szCs w:val="20"/>
      <w:lang w:val="en-GB" w:eastAsia="en-US"/>
    </w:rPr>
  </w:style>
  <w:style w:type="character" w:customStyle="1" w:styleId="Char3">
    <w:name w:val="Κείμενο υποσημείωσης Char"/>
    <w:aliases w:val="lábléc Char,Footnote Char1,Fußnote Char,C26 Footnote body Char, Char Char,Footnote Text Char Char,Footnote Text Char1 Char Char,Footnote Text Char Char Char Char,Footnote Char Char Char Char,Fußnote Char Char Char Char"/>
    <w:basedOn w:val="a1"/>
    <w:link w:val="a8"/>
    <w:uiPriority w:val="99"/>
    <w:rsid w:val="00FC5A8B"/>
    <w:rPr>
      <w:lang w:val="en-GB" w:eastAsia="en-US" w:bidi="ar-SA"/>
    </w:rPr>
  </w:style>
  <w:style w:type="character" w:styleId="a9">
    <w:name w:val="footnote reference"/>
    <w:aliases w:val="Footnote Reference Number,Footnote Reference_LVL6,Footnote Reference_LVL61,Footnote Reference_LVL62,Footnote Reference_LVL63,Footnote Reference_LVL64,C26 Footnote Number,Footnote Reference_LVL65,Footnote symbol,Footnote Reference1"/>
    <w:basedOn w:val="a1"/>
    <w:uiPriority w:val="99"/>
    <w:rsid w:val="000E6FEF"/>
    <w:rPr>
      <w:vertAlign w:val="superscript"/>
    </w:rPr>
  </w:style>
  <w:style w:type="paragraph" w:styleId="aa">
    <w:name w:val="Title"/>
    <w:basedOn w:val="a"/>
    <w:link w:val="Char4"/>
    <w:qFormat/>
    <w:rsid w:val="001A65AA"/>
    <w:pPr>
      <w:jc w:val="center"/>
    </w:pPr>
    <w:rPr>
      <w:rFonts w:ascii="Arial" w:hAnsi="Arial"/>
      <w:b/>
      <w:i/>
      <w:sz w:val="22"/>
      <w:szCs w:val="20"/>
      <w:lang w:eastAsia="en-US"/>
    </w:rPr>
  </w:style>
  <w:style w:type="character" w:customStyle="1" w:styleId="Char4">
    <w:name w:val="Τίτλος Char"/>
    <w:basedOn w:val="a1"/>
    <w:link w:val="aa"/>
    <w:rsid w:val="00AD40BF"/>
    <w:rPr>
      <w:rFonts w:ascii="Arial" w:hAnsi="Arial"/>
      <w:b/>
      <w:i/>
      <w:sz w:val="22"/>
      <w:lang w:eastAsia="en-US"/>
    </w:rPr>
  </w:style>
  <w:style w:type="character" w:styleId="ab">
    <w:name w:val="annotation reference"/>
    <w:basedOn w:val="a1"/>
    <w:uiPriority w:val="99"/>
    <w:semiHidden/>
    <w:rsid w:val="00142645"/>
    <w:rPr>
      <w:sz w:val="16"/>
      <w:szCs w:val="16"/>
    </w:rPr>
  </w:style>
  <w:style w:type="paragraph" w:styleId="ac">
    <w:name w:val="annotation text"/>
    <w:basedOn w:val="a"/>
    <w:link w:val="Char5"/>
    <w:uiPriority w:val="99"/>
    <w:semiHidden/>
    <w:rsid w:val="00142645"/>
    <w:rPr>
      <w:sz w:val="20"/>
      <w:szCs w:val="20"/>
    </w:rPr>
  </w:style>
  <w:style w:type="character" w:customStyle="1" w:styleId="Char5">
    <w:name w:val="Κείμενο σχολίου Char"/>
    <w:basedOn w:val="a1"/>
    <w:link w:val="ac"/>
    <w:uiPriority w:val="99"/>
    <w:semiHidden/>
    <w:rsid w:val="0006551E"/>
  </w:style>
  <w:style w:type="paragraph" w:styleId="ad">
    <w:name w:val="annotation subject"/>
    <w:basedOn w:val="ac"/>
    <w:next w:val="ac"/>
    <w:link w:val="Char6"/>
    <w:uiPriority w:val="99"/>
    <w:semiHidden/>
    <w:rsid w:val="00142645"/>
    <w:rPr>
      <w:b/>
      <w:bCs/>
    </w:rPr>
  </w:style>
  <w:style w:type="character" w:customStyle="1" w:styleId="Char6">
    <w:name w:val="Θέμα σχολίου Char"/>
    <w:basedOn w:val="Char5"/>
    <w:link w:val="ad"/>
    <w:uiPriority w:val="99"/>
    <w:semiHidden/>
    <w:rsid w:val="0006551E"/>
    <w:rPr>
      <w:b/>
      <w:bCs/>
    </w:rPr>
  </w:style>
  <w:style w:type="table" w:styleId="ae">
    <w:name w:val="Table Grid"/>
    <w:basedOn w:val="a2"/>
    <w:uiPriority w:val="59"/>
    <w:rsid w:val="000463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Παράγραφος λίστας1"/>
    <w:basedOn w:val="a"/>
    <w:qFormat/>
    <w:rsid w:val="00234956"/>
    <w:pPr>
      <w:spacing w:after="200" w:line="276" w:lineRule="auto"/>
      <w:ind w:left="720"/>
    </w:pPr>
    <w:rPr>
      <w:rFonts w:ascii="Calibri" w:eastAsia="Calibri" w:hAnsi="Calibri" w:cs="Calibri"/>
      <w:sz w:val="22"/>
      <w:szCs w:val="22"/>
      <w:lang w:eastAsia="en-US"/>
    </w:rPr>
  </w:style>
  <w:style w:type="paragraph" w:styleId="af">
    <w:name w:val="Body Text Indent"/>
    <w:basedOn w:val="a"/>
    <w:link w:val="Char7"/>
    <w:rsid w:val="00FC5A8B"/>
    <w:pPr>
      <w:spacing w:after="120"/>
      <w:ind w:left="283"/>
    </w:pPr>
  </w:style>
  <w:style w:type="character" w:customStyle="1" w:styleId="Char7">
    <w:name w:val="Σώμα κείμενου με εσοχή Char"/>
    <w:basedOn w:val="a1"/>
    <w:link w:val="af"/>
    <w:rsid w:val="00AD40BF"/>
    <w:rPr>
      <w:sz w:val="24"/>
      <w:szCs w:val="24"/>
    </w:rPr>
  </w:style>
  <w:style w:type="paragraph" w:customStyle="1" w:styleId="CM4">
    <w:name w:val="CM4"/>
    <w:basedOn w:val="a"/>
    <w:next w:val="a"/>
    <w:rsid w:val="00FC5A8B"/>
    <w:pPr>
      <w:autoSpaceDE w:val="0"/>
      <w:autoSpaceDN w:val="0"/>
      <w:adjustRightInd w:val="0"/>
      <w:spacing w:before="60" w:after="60"/>
    </w:pPr>
    <w:rPr>
      <w:rFonts w:ascii="EU Albertina" w:hAnsi="EU Albertina"/>
    </w:rPr>
  </w:style>
  <w:style w:type="character" w:customStyle="1" w:styleId="Char8">
    <w:name w:val="Κείμενο σημείωσης τέλους Char"/>
    <w:basedOn w:val="a1"/>
    <w:link w:val="af0"/>
    <w:semiHidden/>
    <w:rsid w:val="006E2D30"/>
    <w:rPr>
      <w:rFonts w:ascii="Cambria" w:eastAsia="Cambria" w:hAnsi="Cambria"/>
      <w:lang w:val="en-US" w:eastAsia="en-US" w:bidi="ar-SA"/>
    </w:rPr>
  </w:style>
  <w:style w:type="paragraph" w:styleId="af0">
    <w:name w:val="endnote text"/>
    <w:basedOn w:val="a"/>
    <w:link w:val="Char8"/>
    <w:semiHidden/>
    <w:unhideWhenUsed/>
    <w:rsid w:val="00786869"/>
    <w:pPr>
      <w:spacing w:after="200" w:line="276" w:lineRule="auto"/>
    </w:pPr>
    <w:rPr>
      <w:rFonts w:ascii="Cambria" w:eastAsia="Cambria" w:hAnsi="Cambria"/>
      <w:sz w:val="20"/>
      <w:szCs w:val="20"/>
      <w:lang w:val="en-US" w:eastAsia="en-US"/>
    </w:rPr>
  </w:style>
  <w:style w:type="character" w:styleId="af1">
    <w:name w:val="line number"/>
    <w:basedOn w:val="a1"/>
    <w:rsid w:val="006E2D30"/>
  </w:style>
  <w:style w:type="paragraph" w:styleId="af2">
    <w:name w:val="List Paragraph"/>
    <w:basedOn w:val="a"/>
    <w:uiPriority w:val="34"/>
    <w:qFormat/>
    <w:rsid w:val="006E2D30"/>
    <w:pPr>
      <w:spacing w:after="200" w:line="276" w:lineRule="auto"/>
      <w:ind w:left="720"/>
      <w:contextualSpacing/>
    </w:pPr>
    <w:rPr>
      <w:rFonts w:ascii="Calibri" w:eastAsia="Calibri" w:hAnsi="Calibri"/>
      <w:sz w:val="22"/>
      <w:szCs w:val="22"/>
      <w:lang w:eastAsia="en-US"/>
    </w:rPr>
  </w:style>
  <w:style w:type="paragraph" w:styleId="af3">
    <w:name w:val="No Spacing"/>
    <w:uiPriority w:val="1"/>
    <w:qFormat/>
    <w:rsid w:val="00B33F1D"/>
    <w:rPr>
      <w:rFonts w:ascii="Calibri" w:eastAsia="Calibri" w:hAnsi="Calibri"/>
      <w:sz w:val="22"/>
      <w:szCs w:val="22"/>
      <w:lang w:eastAsia="en-US"/>
    </w:rPr>
  </w:style>
  <w:style w:type="character" w:customStyle="1" w:styleId="af4">
    <w:name w:val="Σύμβολο υποσημείωσης"/>
    <w:rsid w:val="00B33F1D"/>
    <w:rPr>
      <w:vertAlign w:val="superscript"/>
    </w:rPr>
  </w:style>
  <w:style w:type="character" w:customStyle="1" w:styleId="12">
    <w:name w:val="Παραπομπή υποσημείωσης1"/>
    <w:rsid w:val="00B33F1D"/>
    <w:rPr>
      <w:vertAlign w:val="superscript"/>
    </w:rPr>
  </w:style>
  <w:style w:type="character" w:styleId="af5">
    <w:name w:val="endnote reference"/>
    <w:basedOn w:val="a1"/>
    <w:rsid w:val="00155440"/>
    <w:rPr>
      <w:vertAlign w:val="superscript"/>
    </w:rPr>
  </w:style>
  <w:style w:type="table" w:customStyle="1" w:styleId="TableNormal1">
    <w:name w:val="Table Normal1"/>
    <w:rsid w:val="0006551E"/>
    <w:rPr>
      <w:color w:val="000000"/>
      <w:sz w:val="24"/>
      <w:szCs w:val="24"/>
    </w:rPr>
    <w:tblPr>
      <w:tblCellMar>
        <w:top w:w="0" w:type="dxa"/>
        <w:left w:w="0" w:type="dxa"/>
        <w:bottom w:w="0" w:type="dxa"/>
        <w:right w:w="0" w:type="dxa"/>
      </w:tblCellMar>
    </w:tblPr>
  </w:style>
  <w:style w:type="paragraph" w:styleId="af6">
    <w:name w:val="Subtitle"/>
    <w:basedOn w:val="10"/>
    <w:next w:val="10"/>
    <w:link w:val="Char9"/>
    <w:rsid w:val="0006551E"/>
    <w:pPr>
      <w:keepNext/>
      <w:keepLines/>
      <w:spacing w:before="360" w:after="80"/>
      <w:contextualSpacing/>
    </w:pPr>
    <w:rPr>
      <w:rFonts w:ascii="Georgia" w:eastAsia="Georgia" w:hAnsi="Georgia" w:cs="Georgia"/>
      <w:i/>
      <w:color w:val="666666"/>
      <w:sz w:val="48"/>
      <w:szCs w:val="48"/>
    </w:rPr>
  </w:style>
  <w:style w:type="character" w:customStyle="1" w:styleId="Char9">
    <w:name w:val="Υπότιτλος Char"/>
    <w:basedOn w:val="a1"/>
    <w:link w:val="af6"/>
    <w:rsid w:val="0006551E"/>
    <w:rPr>
      <w:rFonts w:ascii="Georgia" w:eastAsia="Georgia" w:hAnsi="Georgia" w:cs="Georgia"/>
      <w:i/>
      <w:color w:val="666666"/>
      <w:sz w:val="48"/>
      <w:szCs w:val="48"/>
    </w:rPr>
  </w:style>
  <w:style w:type="table" w:customStyle="1" w:styleId="32">
    <w:name w:val="3"/>
    <w:basedOn w:val="TableNormal1"/>
    <w:rsid w:val="0006551E"/>
    <w:tblPr>
      <w:tblStyleRowBandSize w:val="1"/>
      <w:tblStyleColBandSize w:val="1"/>
      <w:tblCellMar>
        <w:top w:w="0" w:type="dxa"/>
        <w:left w:w="115" w:type="dxa"/>
        <w:bottom w:w="0" w:type="dxa"/>
        <w:right w:w="115" w:type="dxa"/>
      </w:tblCellMar>
    </w:tblPr>
  </w:style>
  <w:style w:type="table" w:customStyle="1" w:styleId="22">
    <w:name w:val="2"/>
    <w:basedOn w:val="TableNormal1"/>
    <w:rsid w:val="0006551E"/>
    <w:tblPr>
      <w:tblStyleRowBandSize w:val="1"/>
      <w:tblStyleColBandSize w:val="1"/>
      <w:tblCellMar>
        <w:top w:w="0" w:type="dxa"/>
        <w:left w:w="30" w:type="dxa"/>
        <w:bottom w:w="0" w:type="dxa"/>
        <w:right w:w="30" w:type="dxa"/>
      </w:tblCellMar>
    </w:tblPr>
  </w:style>
  <w:style w:type="table" w:customStyle="1" w:styleId="13">
    <w:name w:val="1"/>
    <w:basedOn w:val="TableNormal1"/>
    <w:rsid w:val="0006551E"/>
    <w:tblPr>
      <w:tblStyleRowBandSize w:val="1"/>
      <w:tblStyleColBandSize w:val="1"/>
      <w:tblCellMar>
        <w:top w:w="0" w:type="dxa"/>
        <w:left w:w="115" w:type="dxa"/>
        <w:bottom w:w="0" w:type="dxa"/>
        <w:right w:w="115" w:type="dxa"/>
      </w:tblCellMar>
    </w:tblPr>
  </w:style>
  <w:style w:type="character" w:customStyle="1" w:styleId="bog-bodytext">
    <w:name w:val="bog-bodytext"/>
    <w:rsid w:val="00AD40BF"/>
  </w:style>
  <w:style w:type="paragraph" w:styleId="Web">
    <w:name w:val="Normal (Web)"/>
    <w:basedOn w:val="a"/>
    <w:uiPriority w:val="99"/>
    <w:rsid w:val="00AD40BF"/>
    <w:pPr>
      <w:spacing w:before="100" w:beforeAutospacing="1" w:after="100" w:afterAutospacing="1"/>
    </w:pPr>
  </w:style>
  <w:style w:type="character" w:customStyle="1" w:styleId="7Char">
    <w:name w:val="Επικεφαλίδα 7 Char"/>
    <w:basedOn w:val="a1"/>
    <w:link w:val="7"/>
    <w:rsid w:val="00BD6F50"/>
    <w:rPr>
      <w:rFonts w:ascii="Arial Narrow" w:eastAsia="SimSun" w:hAnsi="Arial Narrow" w:cs="Mangal"/>
      <w:b/>
      <w:i/>
      <w:kern w:val="1"/>
      <w:sz w:val="22"/>
      <w:szCs w:val="22"/>
      <w:lang w:eastAsia="hi-IN" w:bidi="hi-IN"/>
    </w:rPr>
  </w:style>
  <w:style w:type="character" w:customStyle="1" w:styleId="9Char">
    <w:name w:val="Επικεφαλίδα 9 Char"/>
    <w:basedOn w:val="a1"/>
    <w:link w:val="9"/>
    <w:rsid w:val="00BD6F50"/>
    <w:rPr>
      <w:rFonts w:ascii="Arial Narrow" w:eastAsia="SimSun" w:hAnsi="Arial Narrow" w:cs="Mangal"/>
      <w:b/>
      <w:color w:val="000080"/>
      <w:kern w:val="1"/>
      <w:sz w:val="24"/>
      <w:szCs w:val="22"/>
      <w:lang w:eastAsia="hi-IN" w:bidi="hi-IN"/>
    </w:rPr>
  </w:style>
  <w:style w:type="character" w:customStyle="1" w:styleId="WW8Num2z0">
    <w:name w:val="WW8Num2z0"/>
    <w:rsid w:val="00BD6F50"/>
    <w:rPr>
      <w:rFonts w:ascii="Symbol" w:hAnsi="Symbol"/>
    </w:rPr>
  </w:style>
  <w:style w:type="character" w:customStyle="1" w:styleId="WW8Num2z1">
    <w:name w:val="WW8Num2z1"/>
    <w:rsid w:val="00BD6F50"/>
    <w:rPr>
      <w:rFonts w:ascii="Courier New" w:hAnsi="Courier New" w:cs="Courier New"/>
    </w:rPr>
  </w:style>
  <w:style w:type="character" w:customStyle="1" w:styleId="WW8Num2z2">
    <w:name w:val="WW8Num2z2"/>
    <w:rsid w:val="00BD6F50"/>
    <w:rPr>
      <w:rFonts w:ascii="Wingdings" w:hAnsi="Wingdings"/>
    </w:rPr>
  </w:style>
  <w:style w:type="character" w:customStyle="1" w:styleId="WW8Num3z0">
    <w:name w:val="WW8Num3z0"/>
    <w:rsid w:val="00BD6F50"/>
    <w:rPr>
      <w:rFonts w:ascii="Wingdings" w:hAnsi="Wingdings"/>
    </w:rPr>
  </w:style>
  <w:style w:type="character" w:customStyle="1" w:styleId="WW8Num3z1">
    <w:name w:val="WW8Num3z1"/>
    <w:rsid w:val="00BD6F50"/>
    <w:rPr>
      <w:rFonts w:ascii="Courier New" w:hAnsi="Courier New" w:cs="Courier New"/>
    </w:rPr>
  </w:style>
  <w:style w:type="character" w:customStyle="1" w:styleId="WW8Num3z3">
    <w:name w:val="WW8Num3z3"/>
    <w:rsid w:val="00BD6F50"/>
    <w:rPr>
      <w:rFonts w:ascii="Symbol" w:hAnsi="Symbol"/>
    </w:rPr>
  </w:style>
  <w:style w:type="character" w:customStyle="1" w:styleId="Absatz-Standardschriftart">
    <w:name w:val="Absatz-Standardschriftart"/>
    <w:rsid w:val="00BD6F50"/>
  </w:style>
  <w:style w:type="character" w:customStyle="1" w:styleId="14">
    <w:name w:val="Προεπιλεγμένη γραμματοσειρά1"/>
    <w:rsid w:val="00BD6F50"/>
  </w:style>
  <w:style w:type="character" w:customStyle="1" w:styleId="15">
    <w:name w:val="Αριθμός σελίδας1"/>
    <w:basedOn w:val="14"/>
    <w:rsid w:val="00BD6F50"/>
  </w:style>
  <w:style w:type="character" w:customStyle="1" w:styleId="16">
    <w:name w:val="Παραπομπή σχολίου1"/>
    <w:basedOn w:val="14"/>
    <w:rsid w:val="00BD6F50"/>
    <w:rPr>
      <w:sz w:val="16"/>
      <w:szCs w:val="16"/>
    </w:rPr>
  </w:style>
  <w:style w:type="character" w:customStyle="1" w:styleId="17">
    <w:name w:val="Αριθμός γραμμής1"/>
    <w:basedOn w:val="14"/>
    <w:rsid w:val="00BD6F50"/>
  </w:style>
  <w:style w:type="character" w:customStyle="1" w:styleId="ListLabel1">
    <w:name w:val="ListLabel 1"/>
    <w:rsid w:val="00BD6F50"/>
    <w:rPr>
      <w:rFonts w:cs="Courier New"/>
    </w:rPr>
  </w:style>
  <w:style w:type="character" w:customStyle="1" w:styleId="ListLabel2">
    <w:name w:val="ListLabel 2"/>
    <w:rsid w:val="00BD6F50"/>
    <w:rPr>
      <w:color w:val="00000A"/>
    </w:rPr>
  </w:style>
  <w:style w:type="character" w:customStyle="1" w:styleId="ListLabel3">
    <w:name w:val="ListLabel 3"/>
    <w:rsid w:val="00BD6F50"/>
    <w:rPr>
      <w:rFonts w:eastAsia="Times New Roman" w:cs="Times New Roman"/>
      <w:b/>
    </w:rPr>
  </w:style>
  <w:style w:type="character" w:customStyle="1" w:styleId="ListLabel4">
    <w:name w:val="ListLabel 4"/>
    <w:rsid w:val="00BD6F50"/>
    <w:rPr>
      <w:b/>
    </w:rPr>
  </w:style>
  <w:style w:type="character" w:customStyle="1" w:styleId="ListLabel5">
    <w:name w:val="ListLabel 5"/>
    <w:rsid w:val="00BD6F50"/>
    <w:rPr>
      <w:rFonts w:cs="Times New Roman"/>
    </w:rPr>
  </w:style>
  <w:style w:type="character" w:customStyle="1" w:styleId="af7">
    <w:name w:val="Σύμβολα σημείωσης τέλους"/>
    <w:rsid w:val="00BD6F50"/>
    <w:rPr>
      <w:vertAlign w:val="superscript"/>
    </w:rPr>
  </w:style>
  <w:style w:type="character" w:customStyle="1" w:styleId="WW-">
    <w:name w:val="WW-Σύμβολα σημείωσης τέλους"/>
    <w:rsid w:val="00BD6F50"/>
  </w:style>
  <w:style w:type="character" w:customStyle="1" w:styleId="af8">
    <w:name w:val="Χαρακτήρες αρίθμησης"/>
    <w:rsid w:val="00BD6F50"/>
  </w:style>
  <w:style w:type="paragraph" w:customStyle="1" w:styleId="af9">
    <w:name w:val="Επικεφαλίδα"/>
    <w:basedOn w:val="a"/>
    <w:next w:val="a0"/>
    <w:rsid w:val="00BD6F50"/>
    <w:pPr>
      <w:keepNext/>
      <w:suppressAutoHyphens/>
      <w:spacing w:before="240" w:after="120"/>
    </w:pPr>
    <w:rPr>
      <w:rFonts w:ascii="Arial" w:eastAsia="Microsoft YaHei" w:hAnsi="Arial" w:cs="Mangal"/>
      <w:kern w:val="1"/>
      <w:sz w:val="28"/>
      <w:szCs w:val="28"/>
      <w:lang w:eastAsia="hi-IN" w:bidi="hi-IN"/>
    </w:rPr>
  </w:style>
  <w:style w:type="paragraph" w:styleId="afa">
    <w:name w:val="List"/>
    <w:basedOn w:val="a0"/>
    <w:rsid w:val="00BD6F50"/>
    <w:pPr>
      <w:suppressAutoHyphens/>
    </w:pPr>
    <w:rPr>
      <w:rFonts w:eastAsia="SimSun" w:cs="Mangal"/>
      <w:kern w:val="1"/>
      <w:lang w:eastAsia="hi-IN" w:bidi="hi-IN"/>
    </w:rPr>
  </w:style>
  <w:style w:type="paragraph" w:customStyle="1" w:styleId="18">
    <w:name w:val="Λεζάντα1"/>
    <w:basedOn w:val="a"/>
    <w:rsid w:val="00BD6F50"/>
    <w:pPr>
      <w:suppressLineNumbers/>
      <w:suppressAutoHyphens/>
      <w:spacing w:before="120" w:after="120"/>
    </w:pPr>
    <w:rPr>
      <w:rFonts w:eastAsia="SimSun" w:cs="Mangal"/>
      <w:i/>
      <w:iCs/>
      <w:kern w:val="1"/>
      <w:lang w:eastAsia="hi-IN" w:bidi="hi-IN"/>
    </w:rPr>
  </w:style>
  <w:style w:type="paragraph" w:customStyle="1" w:styleId="afb">
    <w:name w:val="Ευρετήριο"/>
    <w:basedOn w:val="a"/>
    <w:rsid w:val="00BD6F50"/>
    <w:pPr>
      <w:suppressLineNumbers/>
      <w:suppressAutoHyphens/>
    </w:pPr>
    <w:rPr>
      <w:rFonts w:eastAsia="SimSun" w:cs="Mangal"/>
      <w:kern w:val="1"/>
      <w:lang w:eastAsia="hi-IN" w:bidi="hi-IN"/>
    </w:rPr>
  </w:style>
  <w:style w:type="paragraph" w:customStyle="1" w:styleId="19">
    <w:name w:val="Κείμενο πλαισίου1"/>
    <w:basedOn w:val="a"/>
    <w:rsid w:val="00BD6F50"/>
    <w:pPr>
      <w:suppressAutoHyphens/>
    </w:pPr>
    <w:rPr>
      <w:rFonts w:ascii="Tahoma" w:eastAsia="SimSun" w:hAnsi="Tahoma" w:cs="Tahoma"/>
      <w:kern w:val="1"/>
      <w:sz w:val="16"/>
      <w:szCs w:val="16"/>
      <w:lang w:eastAsia="hi-IN" w:bidi="hi-IN"/>
    </w:rPr>
  </w:style>
  <w:style w:type="paragraph" w:customStyle="1" w:styleId="210">
    <w:name w:val="Σώμα κείμενου με εσοχή 21"/>
    <w:basedOn w:val="a"/>
    <w:rsid w:val="00BD6F50"/>
    <w:pPr>
      <w:suppressAutoHyphens/>
      <w:ind w:left="284"/>
      <w:jc w:val="both"/>
    </w:pPr>
    <w:rPr>
      <w:rFonts w:eastAsia="SimSun" w:cs="Mangal"/>
      <w:kern w:val="1"/>
      <w:sz w:val="22"/>
      <w:szCs w:val="22"/>
      <w:lang w:eastAsia="hi-IN" w:bidi="hi-IN"/>
    </w:rPr>
  </w:style>
  <w:style w:type="paragraph" w:customStyle="1" w:styleId="1a">
    <w:name w:val="Απλό κείμενο1"/>
    <w:basedOn w:val="a"/>
    <w:rsid w:val="00BD6F50"/>
    <w:pPr>
      <w:suppressAutoHyphens/>
    </w:pPr>
    <w:rPr>
      <w:rFonts w:ascii="Courier New" w:eastAsia="SimSun" w:hAnsi="Courier New" w:cs="Mangal"/>
      <w:kern w:val="1"/>
      <w:sz w:val="20"/>
      <w:szCs w:val="20"/>
      <w:lang w:eastAsia="hi-IN" w:bidi="hi-IN"/>
    </w:rPr>
  </w:style>
  <w:style w:type="paragraph" w:customStyle="1" w:styleId="211">
    <w:name w:val="Σώμα κείμενου 21"/>
    <w:basedOn w:val="a"/>
    <w:rsid w:val="00BD6F50"/>
    <w:pPr>
      <w:suppressAutoHyphens/>
      <w:spacing w:after="120" w:line="480" w:lineRule="auto"/>
    </w:pPr>
    <w:rPr>
      <w:rFonts w:eastAsia="SimSun" w:cs="Mangal"/>
      <w:kern w:val="1"/>
      <w:lang w:eastAsia="hi-IN" w:bidi="hi-IN"/>
    </w:rPr>
  </w:style>
  <w:style w:type="paragraph" w:customStyle="1" w:styleId="1b">
    <w:name w:val="Κείμενο υποσημείωσης1"/>
    <w:basedOn w:val="a"/>
    <w:rsid w:val="00BD6F50"/>
    <w:pPr>
      <w:suppressAutoHyphens/>
    </w:pPr>
    <w:rPr>
      <w:rFonts w:eastAsia="SimSun" w:cs="Mangal"/>
      <w:kern w:val="1"/>
      <w:sz w:val="20"/>
      <w:szCs w:val="20"/>
      <w:lang w:val="en-GB" w:eastAsia="hi-IN" w:bidi="hi-IN"/>
    </w:rPr>
  </w:style>
  <w:style w:type="paragraph" w:customStyle="1" w:styleId="1c">
    <w:name w:val="Κείμενο σχολίου1"/>
    <w:basedOn w:val="a"/>
    <w:rsid w:val="00BD6F50"/>
    <w:pPr>
      <w:suppressAutoHyphens/>
    </w:pPr>
    <w:rPr>
      <w:rFonts w:eastAsia="SimSun" w:cs="Mangal"/>
      <w:kern w:val="1"/>
      <w:sz w:val="20"/>
      <w:szCs w:val="20"/>
      <w:lang w:eastAsia="hi-IN" w:bidi="hi-IN"/>
    </w:rPr>
  </w:style>
  <w:style w:type="paragraph" w:customStyle="1" w:styleId="1d">
    <w:name w:val="Θέμα σχολίου1"/>
    <w:basedOn w:val="1c"/>
    <w:rsid w:val="00BD6F50"/>
    <w:rPr>
      <w:b/>
      <w:bCs/>
    </w:rPr>
  </w:style>
  <w:style w:type="paragraph" w:customStyle="1" w:styleId="CharCharCharCharCharCharCharCharCharCharCharCharChar">
    <w:name w:val="Char Char Char Char Char Char Char Char Char Char Char Char Char"/>
    <w:basedOn w:val="a"/>
    <w:rsid w:val="00BD6F50"/>
    <w:pPr>
      <w:suppressAutoHyphens/>
      <w:spacing w:after="160" w:line="240" w:lineRule="exact"/>
      <w:jc w:val="both"/>
    </w:pPr>
    <w:rPr>
      <w:rFonts w:ascii="Verdana" w:eastAsia="SimSun" w:hAnsi="Verdana" w:cs="Mangal"/>
      <w:kern w:val="1"/>
      <w:sz w:val="20"/>
      <w:szCs w:val="20"/>
      <w:lang w:val="en-US" w:eastAsia="hi-IN" w:bidi="hi-IN"/>
    </w:rPr>
  </w:style>
  <w:style w:type="paragraph" w:customStyle="1" w:styleId="Web1">
    <w:name w:val="Κανονικό (Web)1"/>
    <w:basedOn w:val="a"/>
    <w:rsid w:val="00BD6F50"/>
    <w:pPr>
      <w:suppressAutoHyphens/>
      <w:spacing w:before="28" w:after="28"/>
    </w:pPr>
    <w:rPr>
      <w:rFonts w:eastAsia="SimSun" w:cs="Mangal"/>
      <w:kern w:val="1"/>
      <w:lang w:val="en-US" w:eastAsia="en-US" w:bidi="en-US"/>
    </w:rPr>
  </w:style>
  <w:style w:type="paragraph" w:customStyle="1" w:styleId="1e">
    <w:name w:val="Χωρίς διάστιχο1"/>
    <w:rsid w:val="00BD6F50"/>
    <w:pPr>
      <w:suppressAutoHyphens/>
    </w:pPr>
    <w:rPr>
      <w:rFonts w:ascii="Calibri" w:eastAsia="SimSun" w:hAnsi="Calibri" w:cs="Calibri"/>
      <w:kern w:val="1"/>
      <w:sz w:val="22"/>
      <w:szCs w:val="22"/>
      <w:lang w:eastAsia="hi-IN" w:bidi="hi-IN"/>
    </w:rPr>
  </w:style>
  <w:style w:type="paragraph" w:customStyle="1" w:styleId="1f">
    <w:name w:val="Αναθεώρηση1"/>
    <w:rsid w:val="00BD6F50"/>
    <w:pPr>
      <w:suppressAutoHyphens/>
    </w:pPr>
    <w:rPr>
      <w:rFonts w:eastAsia="SimSun" w:cs="Mangal"/>
      <w:kern w:val="1"/>
      <w:sz w:val="24"/>
      <w:szCs w:val="24"/>
      <w:lang w:eastAsia="hi-IN" w:bidi="hi-IN"/>
    </w:rPr>
  </w:style>
  <w:style w:type="paragraph" w:customStyle="1" w:styleId="afc">
    <w:name w:val="Περιεχόμενα πίνακα"/>
    <w:basedOn w:val="a"/>
    <w:rsid w:val="00BD6F50"/>
    <w:pPr>
      <w:suppressLineNumbers/>
      <w:suppressAutoHyphens/>
    </w:pPr>
    <w:rPr>
      <w:rFonts w:eastAsia="SimSun" w:cs="Mangal"/>
      <w:kern w:val="1"/>
      <w:lang w:eastAsia="hi-IN" w:bidi="hi-IN"/>
    </w:rPr>
  </w:style>
  <w:style w:type="paragraph" w:customStyle="1" w:styleId="afd">
    <w:name w:val="Επικεφαλίδα πίνακα"/>
    <w:basedOn w:val="afc"/>
    <w:rsid w:val="00BD6F50"/>
    <w:pPr>
      <w:jc w:val="center"/>
    </w:pPr>
    <w:rPr>
      <w:b/>
      <w:bCs/>
    </w:rPr>
  </w:style>
  <w:style w:type="character" w:customStyle="1" w:styleId="st">
    <w:name w:val="st"/>
    <w:basedOn w:val="a1"/>
    <w:rsid w:val="00BD6F50"/>
  </w:style>
  <w:style w:type="character" w:styleId="afe">
    <w:name w:val="Emphasis"/>
    <w:basedOn w:val="a1"/>
    <w:uiPriority w:val="20"/>
    <w:qFormat/>
    <w:rsid w:val="00BD6F50"/>
    <w:rPr>
      <w:i/>
      <w:iCs/>
    </w:rPr>
  </w:style>
  <w:style w:type="character" w:styleId="-">
    <w:name w:val="Hyperlink"/>
    <w:basedOn w:val="a1"/>
    <w:uiPriority w:val="99"/>
    <w:unhideWhenUsed/>
    <w:rsid w:val="00BD6F50"/>
    <w:rPr>
      <w:color w:val="0000FF"/>
      <w:u w:val="single"/>
    </w:rPr>
  </w:style>
  <w:style w:type="paragraph" w:styleId="aff">
    <w:name w:val="TOC Heading"/>
    <w:basedOn w:val="1"/>
    <w:next w:val="a"/>
    <w:uiPriority w:val="39"/>
    <w:semiHidden/>
    <w:unhideWhenUsed/>
    <w:qFormat/>
    <w:rsid w:val="00BD6F50"/>
    <w:pPr>
      <w:keepLines/>
      <w:spacing w:before="480" w:after="0" w:line="276" w:lineRule="auto"/>
      <w:outlineLvl w:val="9"/>
    </w:pPr>
    <w:rPr>
      <w:rFonts w:ascii="Cambria" w:hAnsi="Cambria" w:cs="Times New Roman"/>
      <w:color w:val="365F91"/>
      <w:kern w:val="0"/>
      <w:sz w:val="28"/>
      <w:szCs w:val="28"/>
      <w:lang w:eastAsia="en-US"/>
    </w:rPr>
  </w:style>
  <w:style w:type="paragraph" w:styleId="-HTML">
    <w:name w:val="HTML Preformatted"/>
    <w:basedOn w:val="a"/>
    <w:link w:val="-HTMLChar"/>
    <w:uiPriority w:val="99"/>
    <w:unhideWhenUsed/>
    <w:rsid w:val="00BD6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1"/>
    <w:link w:val="-HTML"/>
    <w:uiPriority w:val="99"/>
    <w:rsid w:val="00BD6F50"/>
    <w:rPr>
      <w:rFonts w:ascii="Courier New" w:hAnsi="Courier New" w:cs="Courier New"/>
    </w:rPr>
  </w:style>
  <w:style w:type="paragraph" w:customStyle="1" w:styleId="Default">
    <w:name w:val="Default"/>
    <w:rsid w:val="00BD6F50"/>
    <w:pPr>
      <w:autoSpaceDE w:val="0"/>
      <w:autoSpaceDN w:val="0"/>
      <w:adjustRightInd w:val="0"/>
    </w:pPr>
    <w:rPr>
      <w:rFonts w:eastAsia="Calibri"/>
      <w:color w:val="000000"/>
      <w:sz w:val="24"/>
      <w:szCs w:val="24"/>
    </w:rPr>
  </w:style>
  <w:style w:type="character" w:customStyle="1" w:styleId="alt-edited">
    <w:name w:val="alt-edited"/>
    <w:basedOn w:val="a1"/>
    <w:rsid w:val="00BD6F50"/>
  </w:style>
  <w:style w:type="paragraph" w:customStyle="1" w:styleId="xl52844">
    <w:name w:val="xl52844"/>
    <w:basedOn w:val="a"/>
    <w:rsid w:val="00BD6F50"/>
    <w:pPr>
      <w:spacing w:before="100" w:beforeAutospacing="1" w:after="100" w:afterAutospacing="1"/>
      <w:jc w:val="center"/>
      <w:textAlignment w:val="center"/>
    </w:pPr>
    <w:rPr>
      <w:rFonts w:ascii="Segoe UI" w:hAnsi="Segoe UI" w:cs="Segoe UI"/>
      <w:sz w:val="16"/>
      <w:szCs w:val="16"/>
    </w:rPr>
  </w:style>
  <w:style w:type="character" w:styleId="-0">
    <w:name w:val="FollowedHyperlink"/>
    <w:basedOn w:val="a1"/>
    <w:uiPriority w:val="99"/>
    <w:unhideWhenUsed/>
    <w:rsid w:val="00BD6F50"/>
    <w:rPr>
      <w:color w:val="800080" w:themeColor="followedHyperlink"/>
      <w:u w:val="single"/>
    </w:rPr>
  </w:style>
  <w:style w:type="character" w:customStyle="1" w:styleId="tlid-translation">
    <w:name w:val="tlid-translation"/>
    <w:basedOn w:val="a1"/>
    <w:rsid w:val="00DE399A"/>
  </w:style>
</w:styles>
</file>

<file path=word/webSettings.xml><?xml version="1.0" encoding="utf-8"?>
<w:webSettings xmlns:r="http://schemas.openxmlformats.org/officeDocument/2006/relationships" xmlns:w="http://schemas.openxmlformats.org/wordprocessingml/2006/main">
  <w:divs>
    <w:div w:id="27873215">
      <w:bodyDiv w:val="1"/>
      <w:marLeft w:val="0"/>
      <w:marRight w:val="0"/>
      <w:marTop w:val="0"/>
      <w:marBottom w:val="0"/>
      <w:divBdr>
        <w:top w:val="none" w:sz="0" w:space="0" w:color="auto"/>
        <w:left w:val="none" w:sz="0" w:space="0" w:color="auto"/>
        <w:bottom w:val="none" w:sz="0" w:space="0" w:color="auto"/>
        <w:right w:val="none" w:sz="0" w:space="0" w:color="auto"/>
      </w:divBdr>
    </w:div>
    <w:div w:id="77988290">
      <w:bodyDiv w:val="1"/>
      <w:marLeft w:val="0"/>
      <w:marRight w:val="0"/>
      <w:marTop w:val="0"/>
      <w:marBottom w:val="0"/>
      <w:divBdr>
        <w:top w:val="none" w:sz="0" w:space="0" w:color="auto"/>
        <w:left w:val="none" w:sz="0" w:space="0" w:color="auto"/>
        <w:bottom w:val="none" w:sz="0" w:space="0" w:color="auto"/>
        <w:right w:val="none" w:sz="0" w:space="0" w:color="auto"/>
      </w:divBdr>
    </w:div>
    <w:div w:id="157119650">
      <w:bodyDiv w:val="1"/>
      <w:marLeft w:val="0"/>
      <w:marRight w:val="0"/>
      <w:marTop w:val="0"/>
      <w:marBottom w:val="0"/>
      <w:divBdr>
        <w:top w:val="none" w:sz="0" w:space="0" w:color="auto"/>
        <w:left w:val="none" w:sz="0" w:space="0" w:color="auto"/>
        <w:bottom w:val="none" w:sz="0" w:space="0" w:color="auto"/>
        <w:right w:val="none" w:sz="0" w:space="0" w:color="auto"/>
      </w:divBdr>
    </w:div>
    <w:div w:id="227375903">
      <w:bodyDiv w:val="1"/>
      <w:marLeft w:val="0"/>
      <w:marRight w:val="0"/>
      <w:marTop w:val="0"/>
      <w:marBottom w:val="0"/>
      <w:divBdr>
        <w:top w:val="none" w:sz="0" w:space="0" w:color="auto"/>
        <w:left w:val="none" w:sz="0" w:space="0" w:color="auto"/>
        <w:bottom w:val="none" w:sz="0" w:space="0" w:color="auto"/>
        <w:right w:val="none" w:sz="0" w:space="0" w:color="auto"/>
      </w:divBdr>
    </w:div>
    <w:div w:id="240455877">
      <w:bodyDiv w:val="1"/>
      <w:marLeft w:val="0"/>
      <w:marRight w:val="0"/>
      <w:marTop w:val="0"/>
      <w:marBottom w:val="0"/>
      <w:divBdr>
        <w:top w:val="none" w:sz="0" w:space="0" w:color="auto"/>
        <w:left w:val="none" w:sz="0" w:space="0" w:color="auto"/>
        <w:bottom w:val="none" w:sz="0" w:space="0" w:color="auto"/>
        <w:right w:val="none" w:sz="0" w:space="0" w:color="auto"/>
      </w:divBdr>
    </w:div>
    <w:div w:id="257179088">
      <w:bodyDiv w:val="1"/>
      <w:marLeft w:val="0"/>
      <w:marRight w:val="0"/>
      <w:marTop w:val="0"/>
      <w:marBottom w:val="0"/>
      <w:divBdr>
        <w:top w:val="none" w:sz="0" w:space="0" w:color="auto"/>
        <w:left w:val="none" w:sz="0" w:space="0" w:color="auto"/>
        <w:bottom w:val="none" w:sz="0" w:space="0" w:color="auto"/>
        <w:right w:val="none" w:sz="0" w:space="0" w:color="auto"/>
      </w:divBdr>
    </w:div>
    <w:div w:id="259265060">
      <w:bodyDiv w:val="1"/>
      <w:marLeft w:val="0"/>
      <w:marRight w:val="0"/>
      <w:marTop w:val="0"/>
      <w:marBottom w:val="0"/>
      <w:divBdr>
        <w:top w:val="none" w:sz="0" w:space="0" w:color="auto"/>
        <w:left w:val="none" w:sz="0" w:space="0" w:color="auto"/>
        <w:bottom w:val="none" w:sz="0" w:space="0" w:color="auto"/>
        <w:right w:val="none" w:sz="0" w:space="0" w:color="auto"/>
      </w:divBdr>
    </w:div>
    <w:div w:id="271594238">
      <w:bodyDiv w:val="1"/>
      <w:marLeft w:val="0"/>
      <w:marRight w:val="0"/>
      <w:marTop w:val="0"/>
      <w:marBottom w:val="0"/>
      <w:divBdr>
        <w:top w:val="none" w:sz="0" w:space="0" w:color="auto"/>
        <w:left w:val="none" w:sz="0" w:space="0" w:color="auto"/>
        <w:bottom w:val="none" w:sz="0" w:space="0" w:color="auto"/>
        <w:right w:val="none" w:sz="0" w:space="0" w:color="auto"/>
      </w:divBdr>
    </w:div>
    <w:div w:id="281689762">
      <w:bodyDiv w:val="1"/>
      <w:marLeft w:val="0"/>
      <w:marRight w:val="0"/>
      <w:marTop w:val="0"/>
      <w:marBottom w:val="0"/>
      <w:divBdr>
        <w:top w:val="none" w:sz="0" w:space="0" w:color="auto"/>
        <w:left w:val="none" w:sz="0" w:space="0" w:color="auto"/>
        <w:bottom w:val="none" w:sz="0" w:space="0" w:color="auto"/>
        <w:right w:val="none" w:sz="0" w:space="0" w:color="auto"/>
      </w:divBdr>
    </w:div>
    <w:div w:id="326980128">
      <w:bodyDiv w:val="1"/>
      <w:marLeft w:val="0"/>
      <w:marRight w:val="0"/>
      <w:marTop w:val="0"/>
      <w:marBottom w:val="0"/>
      <w:divBdr>
        <w:top w:val="none" w:sz="0" w:space="0" w:color="auto"/>
        <w:left w:val="none" w:sz="0" w:space="0" w:color="auto"/>
        <w:bottom w:val="none" w:sz="0" w:space="0" w:color="auto"/>
        <w:right w:val="none" w:sz="0" w:space="0" w:color="auto"/>
      </w:divBdr>
    </w:div>
    <w:div w:id="357970030">
      <w:bodyDiv w:val="1"/>
      <w:marLeft w:val="0"/>
      <w:marRight w:val="0"/>
      <w:marTop w:val="0"/>
      <w:marBottom w:val="0"/>
      <w:divBdr>
        <w:top w:val="none" w:sz="0" w:space="0" w:color="auto"/>
        <w:left w:val="none" w:sz="0" w:space="0" w:color="auto"/>
        <w:bottom w:val="none" w:sz="0" w:space="0" w:color="auto"/>
        <w:right w:val="none" w:sz="0" w:space="0" w:color="auto"/>
      </w:divBdr>
    </w:div>
    <w:div w:id="409497976">
      <w:bodyDiv w:val="1"/>
      <w:marLeft w:val="0"/>
      <w:marRight w:val="0"/>
      <w:marTop w:val="0"/>
      <w:marBottom w:val="0"/>
      <w:divBdr>
        <w:top w:val="none" w:sz="0" w:space="0" w:color="auto"/>
        <w:left w:val="none" w:sz="0" w:space="0" w:color="auto"/>
        <w:bottom w:val="none" w:sz="0" w:space="0" w:color="auto"/>
        <w:right w:val="none" w:sz="0" w:space="0" w:color="auto"/>
      </w:divBdr>
    </w:div>
    <w:div w:id="444083764">
      <w:bodyDiv w:val="1"/>
      <w:marLeft w:val="0"/>
      <w:marRight w:val="0"/>
      <w:marTop w:val="0"/>
      <w:marBottom w:val="0"/>
      <w:divBdr>
        <w:top w:val="none" w:sz="0" w:space="0" w:color="auto"/>
        <w:left w:val="none" w:sz="0" w:space="0" w:color="auto"/>
        <w:bottom w:val="none" w:sz="0" w:space="0" w:color="auto"/>
        <w:right w:val="none" w:sz="0" w:space="0" w:color="auto"/>
      </w:divBdr>
    </w:div>
    <w:div w:id="449514788">
      <w:bodyDiv w:val="1"/>
      <w:marLeft w:val="0"/>
      <w:marRight w:val="0"/>
      <w:marTop w:val="0"/>
      <w:marBottom w:val="0"/>
      <w:divBdr>
        <w:top w:val="none" w:sz="0" w:space="0" w:color="auto"/>
        <w:left w:val="none" w:sz="0" w:space="0" w:color="auto"/>
        <w:bottom w:val="none" w:sz="0" w:space="0" w:color="auto"/>
        <w:right w:val="none" w:sz="0" w:space="0" w:color="auto"/>
      </w:divBdr>
    </w:div>
    <w:div w:id="463356692">
      <w:bodyDiv w:val="1"/>
      <w:marLeft w:val="0"/>
      <w:marRight w:val="0"/>
      <w:marTop w:val="0"/>
      <w:marBottom w:val="0"/>
      <w:divBdr>
        <w:top w:val="none" w:sz="0" w:space="0" w:color="auto"/>
        <w:left w:val="none" w:sz="0" w:space="0" w:color="auto"/>
        <w:bottom w:val="none" w:sz="0" w:space="0" w:color="auto"/>
        <w:right w:val="none" w:sz="0" w:space="0" w:color="auto"/>
      </w:divBdr>
    </w:div>
    <w:div w:id="483543470">
      <w:bodyDiv w:val="1"/>
      <w:marLeft w:val="0"/>
      <w:marRight w:val="0"/>
      <w:marTop w:val="0"/>
      <w:marBottom w:val="0"/>
      <w:divBdr>
        <w:top w:val="none" w:sz="0" w:space="0" w:color="auto"/>
        <w:left w:val="none" w:sz="0" w:space="0" w:color="auto"/>
        <w:bottom w:val="none" w:sz="0" w:space="0" w:color="auto"/>
        <w:right w:val="none" w:sz="0" w:space="0" w:color="auto"/>
      </w:divBdr>
    </w:div>
    <w:div w:id="518154461">
      <w:bodyDiv w:val="1"/>
      <w:marLeft w:val="0"/>
      <w:marRight w:val="0"/>
      <w:marTop w:val="0"/>
      <w:marBottom w:val="0"/>
      <w:divBdr>
        <w:top w:val="none" w:sz="0" w:space="0" w:color="auto"/>
        <w:left w:val="none" w:sz="0" w:space="0" w:color="auto"/>
        <w:bottom w:val="none" w:sz="0" w:space="0" w:color="auto"/>
        <w:right w:val="none" w:sz="0" w:space="0" w:color="auto"/>
      </w:divBdr>
    </w:div>
    <w:div w:id="596989290">
      <w:bodyDiv w:val="1"/>
      <w:marLeft w:val="0"/>
      <w:marRight w:val="0"/>
      <w:marTop w:val="0"/>
      <w:marBottom w:val="0"/>
      <w:divBdr>
        <w:top w:val="none" w:sz="0" w:space="0" w:color="auto"/>
        <w:left w:val="none" w:sz="0" w:space="0" w:color="auto"/>
        <w:bottom w:val="none" w:sz="0" w:space="0" w:color="auto"/>
        <w:right w:val="none" w:sz="0" w:space="0" w:color="auto"/>
      </w:divBdr>
    </w:div>
    <w:div w:id="649140898">
      <w:bodyDiv w:val="1"/>
      <w:marLeft w:val="0"/>
      <w:marRight w:val="0"/>
      <w:marTop w:val="0"/>
      <w:marBottom w:val="0"/>
      <w:divBdr>
        <w:top w:val="none" w:sz="0" w:space="0" w:color="auto"/>
        <w:left w:val="none" w:sz="0" w:space="0" w:color="auto"/>
        <w:bottom w:val="none" w:sz="0" w:space="0" w:color="auto"/>
        <w:right w:val="none" w:sz="0" w:space="0" w:color="auto"/>
      </w:divBdr>
    </w:div>
    <w:div w:id="719937437">
      <w:bodyDiv w:val="1"/>
      <w:marLeft w:val="0"/>
      <w:marRight w:val="0"/>
      <w:marTop w:val="0"/>
      <w:marBottom w:val="0"/>
      <w:divBdr>
        <w:top w:val="none" w:sz="0" w:space="0" w:color="auto"/>
        <w:left w:val="none" w:sz="0" w:space="0" w:color="auto"/>
        <w:bottom w:val="none" w:sz="0" w:space="0" w:color="auto"/>
        <w:right w:val="none" w:sz="0" w:space="0" w:color="auto"/>
      </w:divBdr>
    </w:div>
    <w:div w:id="722099404">
      <w:bodyDiv w:val="1"/>
      <w:marLeft w:val="0"/>
      <w:marRight w:val="0"/>
      <w:marTop w:val="0"/>
      <w:marBottom w:val="0"/>
      <w:divBdr>
        <w:top w:val="none" w:sz="0" w:space="0" w:color="auto"/>
        <w:left w:val="none" w:sz="0" w:space="0" w:color="auto"/>
        <w:bottom w:val="none" w:sz="0" w:space="0" w:color="auto"/>
        <w:right w:val="none" w:sz="0" w:space="0" w:color="auto"/>
      </w:divBdr>
    </w:div>
    <w:div w:id="724839135">
      <w:bodyDiv w:val="1"/>
      <w:marLeft w:val="0"/>
      <w:marRight w:val="0"/>
      <w:marTop w:val="0"/>
      <w:marBottom w:val="0"/>
      <w:divBdr>
        <w:top w:val="none" w:sz="0" w:space="0" w:color="auto"/>
        <w:left w:val="none" w:sz="0" w:space="0" w:color="auto"/>
        <w:bottom w:val="none" w:sz="0" w:space="0" w:color="auto"/>
        <w:right w:val="none" w:sz="0" w:space="0" w:color="auto"/>
      </w:divBdr>
    </w:div>
    <w:div w:id="744762566">
      <w:bodyDiv w:val="1"/>
      <w:marLeft w:val="0"/>
      <w:marRight w:val="0"/>
      <w:marTop w:val="0"/>
      <w:marBottom w:val="0"/>
      <w:divBdr>
        <w:top w:val="none" w:sz="0" w:space="0" w:color="auto"/>
        <w:left w:val="none" w:sz="0" w:space="0" w:color="auto"/>
        <w:bottom w:val="none" w:sz="0" w:space="0" w:color="auto"/>
        <w:right w:val="none" w:sz="0" w:space="0" w:color="auto"/>
      </w:divBdr>
    </w:div>
    <w:div w:id="765346723">
      <w:bodyDiv w:val="1"/>
      <w:marLeft w:val="0"/>
      <w:marRight w:val="0"/>
      <w:marTop w:val="0"/>
      <w:marBottom w:val="0"/>
      <w:divBdr>
        <w:top w:val="none" w:sz="0" w:space="0" w:color="auto"/>
        <w:left w:val="none" w:sz="0" w:space="0" w:color="auto"/>
        <w:bottom w:val="none" w:sz="0" w:space="0" w:color="auto"/>
        <w:right w:val="none" w:sz="0" w:space="0" w:color="auto"/>
      </w:divBdr>
    </w:div>
    <w:div w:id="866985997">
      <w:bodyDiv w:val="1"/>
      <w:marLeft w:val="0"/>
      <w:marRight w:val="0"/>
      <w:marTop w:val="0"/>
      <w:marBottom w:val="0"/>
      <w:divBdr>
        <w:top w:val="none" w:sz="0" w:space="0" w:color="auto"/>
        <w:left w:val="none" w:sz="0" w:space="0" w:color="auto"/>
        <w:bottom w:val="none" w:sz="0" w:space="0" w:color="auto"/>
        <w:right w:val="none" w:sz="0" w:space="0" w:color="auto"/>
      </w:divBdr>
    </w:div>
    <w:div w:id="883753120">
      <w:bodyDiv w:val="1"/>
      <w:marLeft w:val="0"/>
      <w:marRight w:val="0"/>
      <w:marTop w:val="0"/>
      <w:marBottom w:val="0"/>
      <w:divBdr>
        <w:top w:val="none" w:sz="0" w:space="0" w:color="auto"/>
        <w:left w:val="none" w:sz="0" w:space="0" w:color="auto"/>
        <w:bottom w:val="none" w:sz="0" w:space="0" w:color="auto"/>
        <w:right w:val="none" w:sz="0" w:space="0" w:color="auto"/>
      </w:divBdr>
    </w:div>
    <w:div w:id="929894743">
      <w:bodyDiv w:val="1"/>
      <w:marLeft w:val="0"/>
      <w:marRight w:val="0"/>
      <w:marTop w:val="0"/>
      <w:marBottom w:val="0"/>
      <w:divBdr>
        <w:top w:val="none" w:sz="0" w:space="0" w:color="auto"/>
        <w:left w:val="none" w:sz="0" w:space="0" w:color="auto"/>
        <w:bottom w:val="none" w:sz="0" w:space="0" w:color="auto"/>
        <w:right w:val="none" w:sz="0" w:space="0" w:color="auto"/>
      </w:divBdr>
    </w:div>
    <w:div w:id="948657477">
      <w:bodyDiv w:val="1"/>
      <w:marLeft w:val="0"/>
      <w:marRight w:val="0"/>
      <w:marTop w:val="0"/>
      <w:marBottom w:val="0"/>
      <w:divBdr>
        <w:top w:val="none" w:sz="0" w:space="0" w:color="auto"/>
        <w:left w:val="none" w:sz="0" w:space="0" w:color="auto"/>
        <w:bottom w:val="none" w:sz="0" w:space="0" w:color="auto"/>
        <w:right w:val="none" w:sz="0" w:space="0" w:color="auto"/>
      </w:divBdr>
    </w:div>
    <w:div w:id="995185788">
      <w:bodyDiv w:val="1"/>
      <w:marLeft w:val="0"/>
      <w:marRight w:val="0"/>
      <w:marTop w:val="0"/>
      <w:marBottom w:val="0"/>
      <w:divBdr>
        <w:top w:val="none" w:sz="0" w:space="0" w:color="auto"/>
        <w:left w:val="none" w:sz="0" w:space="0" w:color="auto"/>
        <w:bottom w:val="none" w:sz="0" w:space="0" w:color="auto"/>
        <w:right w:val="none" w:sz="0" w:space="0" w:color="auto"/>
      </w:divBdr>
    </w:div>
    <w:div w:id="1055349887">
      <w:bodyDiv w:val="1"/>
      <w:marLeft w:val="0"/>
      <w:marRight w:val="0"/>
      <w:marTop w:val="0"/>
      <w:marBottom w:val="0"/>
      <w:divBdr>
        <w:top w:val="none" w:sz="0" w:space="0" w:color="auto"/>
        <w:left w:val="none" w:sz="0" w:space="0" w:color="auto"/>
        <w:bottom w:val="none" w:sz="0" w:space="0" w:color="auto"/>
        <w:right w:val="none" w:sz="0" w:space="0" w:color="auto"/>
      </w:divBdr>
    </w:div>
    <w:div w:id="1056515681">
      <w:bodyDiv w:val="1"/>
      <w:marLeft w:val="0"/>
      <w:marRight w:val="0"/>
      <w:marTop w:val="0"/>
      <w:marBottom w:val="0"/>
      <w:divBdr>
        <w:top w:val="none" w:sz="0" w:space="0" w:color="auto"/>
        <w:left w:val="none" w:sz="0" w:space="0" w:color="auto"/>
        <w:bottom w:val="none" w:sz="0" w:space="0" w:color="auto"/>
        <w:right w:val="none" w:sz="0" w:space="0" w:color="auto"/>
      </w:divBdr>
    </w:div>
    <w:div w:id="1183517776">
      <w:bodyDiv w:val="1"/>
      <w:marLeft w:val="0"/>
      <w:marRight w:val="0"/>
      <w:marTop w:val="0"/>
      <w:marBottom w:val="0"/>
      <w:divBdr>
        <w:top w:val="none" w:sz="0" w:space="0" w:color="auto"/>
        <w:left w:val="none" w:sz="0" w:space="0" w:color="auto"/>
        <w:bottom w:val="none" w:sz="0" w:space="0" w:color="auto"/>
        <w:right w:val="none" w:sz="0" w:space="0" w:color="auto"/>
      </w:divBdr>
    </w:div>
    <w:div w:id="1263148354">
      <w:bodyDiv w:val="1"/>
      <w:marLeft w:val="0"/>
      <w:marRight w:val="0"/>
      <w:marTop w:val="0"/>
      <w:marBottom w:val="0"/>
      <w:divBdr>
        <w:top w:val="none" w:sz="0" w:space="0" w:color="auto"/>
        <w:left w:val="none" w:sz="0" w:space="0" w:color="auto"/>
        <w:bottom w:val="none" w:sz="0" w:space="0" w:color="auto"/>
        <w:right w:val="none" w:sz="0" w:space="0" w:color="auto"/>
      </w:divBdr>
    </w:div>
    <w:div w:id="1316103057">
      <w:bodyDiv w:val="1"/>
      <w:marLeft w:val="0"/>
      <w:marRight w:val="0"/>
      <w:marTop w:val="0"/>
      <w:marBottom w:val="0"/>
      <w:divBdr>
        <w:top w:val="none" w:sz="0" w:space="0" w:color="auto"/>
        <w:left w:val="none" w:sz="0" w:space="0" w:color="auto"/>
        <w:bottom w:val="none" w:sz="0" w:space="0" w:color="auto"/>
        <w:right w:val="none" w:sz="0" w:space="0" w:color="auto"/>
      </w:divBdr>
    </w:div>
    <w:div w:id="1344238812">
      <w:bodyDiv w:val="1"/>
      <w:marLeft w:val="0"/>
      <w:marRight w:val="0"/>
      <w:marTop w:val="0"/>
      <w:marBottom w:val="0"/>
      <w:divBdr>
        <w:top w:val="none" w:sz="0" w:space="0" w:color="auto"/>
        <w:left w:val="none" w:sz="0" w:space="0" w:color="auto"/>
        <w:bottom w:val="none" w:sz="0" w:space="0" w:color="auto"/>
        <w:right w:val="none" w:sz="0" w:space="0" w:color="auto"/>
      </w:divBdr>
    </w:div>
    <w:div w:id="1355568979">
      <w:bodyDiv w:val="1"/>
      <w:marLeft w:val="0"/>
      <w:marRight w:val="0"/>
      <w:marTop w:val="0"/>
      <w:marBottom w:val="0"/>
      <w:divBdr>
        <w:top w:val="none" w:sz="0" w:space="0" w:color="auto"/>
        <w:left w:val="none" w:sz="0" w:space="0" w:color="auto"/>
        <w:bottom w:val="none" w:sz="0" w:space="0" w:color="auto"/>
        <w:right w:val="none" w:sz="0" w:space="0" w:color="auto"/>
      </w:divBdr>
    </w:div>
    <w:div w:id="1362976073">
      <w:bodyDiv w:val="1"/>
      <w:marLeft w:val="0"/>
      <w:marRight w:val="0"/>
      <w:marTop w:val="0"/>
      <w:marBottom w:val="0"/>
      <w:divBdr>
        <w:top w:val="none" w:sz="0" w:space="0" w:color="auto"/>
        <w:left w:val="none" w:sz="0" w:space="0" w:color="auto"/>
        <w:bottom w:val="none" w:sz="0" w:space="0" w:color="auto"/>
        <w:right w:val="none" w:sz="0" w:space="0" w:color="auto"/>
      </w:divBdr>
    </w:div>
    <w:div w:id="1447432443">
      <w:bodyDiv w:val="1"/>
      <w:marLeft w:val="0"/>
      <w:marRight w:val="0"/>
      <w:marTop w:val="0"/>
      <w:marBottom w:val="0"/>
      <w:divBdr>
        <w:top w:val="none" w:sz="0" w:space="0" w:color="auto"/>
        <w:left w:val="none" w:sz="0" w:space="0" w:color="auto"/>
        <w:bottom w:val="none" w:sz="0" w:space="0" w:color="auto"/>
        <w:right w:val="none" w:sz="0" w:space="0" w:color="auto"/>
      </w:divBdr>
    </w:div>
    <w:div w:id="1473786361">
      <w:bodyDiv w:val="1"/>
      <w:marLeft w:val="0"/>
      <w:marRight w:val="0"/>
      <w:marTop w:val="0"/>
      <w:marBottom w:val="0"/>
      <w:divBdr>
        <w:top w:val="none" w:sz="0" w:space="0" w:color="auto"/>
        <w:left w:val="none" w:sz="0" w:space="0" w:color="auto"/>
        <w:bottom w:val="none" w:sz="0" w:space="0" w:color="auto"/>
        <w:right w:val="none" w:sz="0" w:space="0" w:color="auto"/>
      </w:divBdr>
    </w:div>
    <w:div w:id="1493258961">
      <w:bodyDiv w:val="1"/>
      <w:marLeft w:val="0"/>
      <w:marRight w:val="0"/>
      <w:marTop w:val="0"/>
      <w:marBottom w:val="0"/>
      <w:divBdr>
        <w:top w:val="none" w:sz="0" w:space="0" w:color="auto"/>
        <w:left w:val="none" w:sz="0" w:space="0" w:color="auto"/>
        <w:bottom w:val="none" w:sz="0" w:space="0" w:color="auto"/>
        <w:right w:val="none" w:sz="0" w:space="0" w:color="auto"/>
      </w:divBdr>
    </w:div>
    <w:div w:id="1587612366">
      <w:bodyDiv w:val="1"/>
      <w:marLeft w:val="0"/>
      <w:marRight w:val="0"/>
      <w:marTop w:val="0"/>
      <w:marBottom w:val="0"/>
      <w:divBdr>
        <w:top w:val="none" w:sz="0" w:space="0" w:color="auto"/>
        <w:left w:val="none" w:sz="0" w:space="0" w:color="auto"/>
        <w:bottom w:val="none" w:sz="0" w:space="0" w:color="auto"/>
        <w:right w:val="none" w:sz="0" w:space="0" w:color="auto"/>
      </w:divBdr>
    </w:div>
    <w:div w:id="1591352837">
      <w:bodyDiv w:val="1"/>
      <w:marLeft w:val="0"/>
      <w:marRight w:val="0"/>
      <w:marTop w:val="0"/>
      <w:marBottom w:val="0"/>
      <w:divBdr>
        <w:top w:val="none" w:sz="0" w:space="0" w:color="auto"/>
        <w:left w:val="none" w:sz="0" w:space="0" w:color="auto"/>
        <w:bottom w:val="none" w:sz="0" w:space="0" w:color="auto"/>
        <w:right w:val="none" w:sz="0" w:space="0" w:color="auto"/>
      </w:divBdr>
    </w:div>
    <w:div w:id="1616016219">
      <w:bodyDiv w:val="1"/>
      <w:marLeft w:val="0"/>
      <w:marRight w:val="0"/>
      <w:marTop w:val="0"/>
      <w:marBottom w:val="0"/>
      <w:divBdr>
        <w:top w:val="none" w:sz="0" w:space="0" w:color="auto"/>
        <w:left w:val="none" w:sz="0" w:space="0" w:color="auto"/>
        <w:bottom w:val="none" w:sz="0" w:space="0" w:color="auto"/>
        <w:right w:val="none" w:sz="0" w:space="0" w:color="auto"/>
      </w:divBdr>
    </w:div>
    <w:div w:id="1672758229">
      <w:bodyDiv w:val="1"/>
      <w:marLeft w:val="0"/>
      <w:marRight w:val="0"/>
      <w:marTop w:val="0"/>
      <w:marBottom w:val="0"/>
      <w:divBdr>
        <w:top w:val="none" w:sz="0" w:space="0" w:color="auto"/>
        <w:left w:val="none" w:sz="0" w:space="0" w:color="auto"/>
        <w:bottom w:val="none" w:sz="0" w:space="0" w:color="auto"/>
        <w:right w:val="none" w:sz="0" w:space="0" w:color="auto"/>
      </w:divBdr>
    </w:div>
    <w:div w:id="1709724596">
      <w:bodyDiv w:val="1"/>
      <w:marLeft w:val="0"/>
      <w:marRight w:val="0"/>
      <w:marTop w:val="0"/>
      <w:marBottom w:val="0"/>
      <w:divBdr>
        <w:top w:val="none" w:sz="0" w:space="0" w:color="auto"/>
        <w:left w:val="none" w:sz="0" w:space="0" w:color="auto"/>
        <w:bottom w:val="none" w:sz="0" w:space="0" w:color="auto"/>
        <w:right w:val="none" w:sz="0" w:space="0" w:color="auto"/>
      </w:divBdr>
    </w:div>
    <w:div w:id="1717702679">
      <w:bodyDiv w:val="1"/>
      <w:marLeft w:val="0"/>
      <w:marRight w:val="0"/>
      <w:marTop w:val="0"/>
      <w:marBottom w:val="0"/>
      <w:divBdr>
        <w:top w:val="none" w:sz="0" w:space="0" w:color="auto"/>
        <w:left w:val="none" w:sz="0" w:space="0" w:color="auto"/>
        <w:bottom w:val="none" w:sz="0" w:space="0" w:color="auto"/>
        <w:right w:val="none" w:sz="0" w:space="0" w:color="auto"/>
      </w:divBdr>
    </w:div>
    <w:div w:id="1767338769">
      <w:bodyDiv w:val="1"/>
      <w:marLeft w:val="0"/>
      <w:marRight w:val="0"/>
      <w:marTop w:val="0"/>
      <w:marBottom w:val="0"/>
      <w:divBdr>
        <w:top w:val="none" w:sz="0" w:space="0" w:color="auto"/>
        <w:left w:val="none" w:sz="0" w:space="0" w:color="auto"/>
        <w:bottom w:val="none" w:sz="0" w:space="0" w:color="auto"/>
        <w:right w:val="none" w:sz="0" w:space="0" w:color="auto"/>
      </w:divBdr>
    </w:div>
    <w:div w:id="1780835037">
      <w:bodyDiv w:val="1"/>
      <w:marLeft w:val="0"/>
      <w:marRight w:val="0"/>
      <w:marTop w:val="0"/>
      <w:marBottom w:val="0"/>
      <w:divBdr>
        <w:top w:val="none" w:sz="0" w:space="0" w:color="auto"/>
        <w:left w:val="none" w:sz="0" w:space="0" w:color="auto"/>
        <w:bottom w:val="none" w:sz="0" w:space="0" w:color="auto"/>
        <w:right w:val="none" w:sz="0" w:space="0" w:color="auto"/>
      </w:divBdr>
    </w:div>
    <w:div w:id="1820657131">
      <w:bodyDiv w:val="1"/>
      <w:marLeft w:val="0"/>
      <w:marRight w:val="0"/>
      <w:marTop w:val="0"/>
      <w:marBottom w:val="0"/>
      <w:divBdr>
        <w:top w:val="none" w:sz="0" w:space="0" w:color="auto"/>
        <w:left w:val="none" w:sz="0" w:space="0" w:color="auto"/>
        <w:bottom w:val="none" w:sz="0" w:space="0" w:color="auto"/>
        <w:right w:val="none" w:sz="0" w:space="0" w:color="auto"/>
      </w:divBdr>
    </w:div>
    <w:div w:id="1833906448">
      <w:bodyDiv w:val="1"/>
      <w:marLeft w:val="0"/>
      <w:marRight w:val="0"/>
      <w:marTop w:val="0"/>
      <w:marBottom w:val="0"/>
      <w:divBdr>
        <w:top w:val="none" w:sz="0" w:space="0" w:color="auto"/>
        <w:left w:val="none" w:sz="0" w:space="0" w:color="auto"/>
        <w:bottom w:val="none" w:sz="0" w:space="0" w:color="auto"/>
        <w:right w:val="none" w:sz="0" w:space="0" w:color="auto"/>
      </w:divBdr>
    </w:div>
    <w:div w:id="1872379153">
      <w:bodyDiv w:val="1"/>
      <w:marLeft w:val="0"/>
      <w:marRight w:val="0"/>
      <w:marTop w:val="0"/>
      <w:marBottom w:val="0"/>
      <w:divBdr>
        <w:top w:val="none" w:sz="0" w:space="0" w:color="auto"/>
        <w:left w:val="none" w:sz="0" w:space="0" w:color="auto"/>
        <w:bottom w:val="none" w:sz="0" w:space="0" w:color="auto"/>
        <w:right w:val="none" w:sz="0" w:space="0" w:color="auto"/>
      </w:divBdr>
    </w:div>
    <w:div w:id="1891114747">
      <w:bodyDiv w:val="1"/>
      <w:marLeft w:val="0"/>
      <w:marRight w:val="0"/>
      <w:marTop w:val="0"/>
      <w:marBottom w:val="0"/>
      <w:divBdr>
        <w:top w:val="none" w:sz="0" w:space="0" w:color="auto"/>
        <w:left w:val="none" w:sz="0" w:space="0" w:color="auto"/>
        <w:bottom w:val="none" w:sz="0" w:space="0" w:color="auto"/>
        <w:right w:val="none" w:sz="0" w:space="0" w:color="auto"/>
      </w:divBdr>
    </w:div>
    <w:div w:id="1935430984">
      <w:bodyDiv w:val="1"/>
      <w:marLeft w:val="0"/>
      <w:marRight w:val="0"/>
      <w:marTop w:val="0"/>
      <w:marBottom w:val="0"/>
      <w:divBdr>
        <w:top w:val="none" w:sz="0" w:space="0" w:color="auto"/>
        <w:left w:val="none" w:sz="0" w:space="0" w:color="auto"/>
        <w:bottom w:val="none" w:sz="0" w:space="0" w:color="auto"/>
        <w:right w:val="none" w:sz="0" w:space="0" w:color="auto"/>
      </w:divBdr>
    </w:div>
    <w:div w:id="1965768326">
      <w:bodyDiv w:val="1"/>
      <w:marLeft w:val="0"/>
      <w:marRight w:val="0"/>
      <w:marTop w:val="0"/>
      <w:marBottom w:val="0"/>
      <w:divBdr>
        <w:top w:val="none" w:sz="0" w:space="0" w:color="auto"/>
        <w:left w:val="none" w:sz="0" w:space="0" w:color="auto"/>
        <w:bottom w:val="none" w:sz="0" w:space="0" w:color="auto"/>
        <w:right w:val="none" w:sz="0" w:space="0" w:color="auto"/>
      </w:divBdr>
    </w:div>
    <w:div w:id="1967736416">
      <w:bodyDiv w:val="1"/>
      <w:marLeft w:val="0"/>
      <w:marRight w:val="0"/>
      <w:marTop w:val="0"/>
      <w:marBottom w:val="0"/>
      <w:divBdr>
        <w:top w:val="none" w:sz="0" w:space="0" w:color="auto"/>
        <w:left w:val="none" w:sz="0" w:space="0" w:color="auto"/>
        <w:bottom w:val="none" w:sz="0" w:space="0" w:color="auto"/>
        <w:right w:val="none" w:sz="0" w:space="0" w:color="auto"/>
      </w:divBdr>
    </w:div>
    <w:div w:id="1978532442">
      <w:bodyDiv w:val="1"/>
      <w:marLeft w:val="0"/>
      <w:marRight w:val="0"/>
      <w:marTop w:val="0"/>
      <w:marBottom w:val="0"/>
      <w:divBdr>
        <w:top w:val="none" w:sz="0" w:space="0" w:color="auto"/>
        <w:left w:val="none" w:sz="0" w:space="0" w:color="auto"/>
        <w:bottom w:val="none" w:sz="0" w:space="0" w:color="auto"/>
        <w:right w:val="none" w:sz="0" w:space="0" w:color="auto"/>
      </w:divBdr>
    </w:div>
    <w:div w:id="2089840098">
      <w:bodyDiv w:val="1"/>
      <w:marLeft w:val="0"/>
      <w:marRight w:val="0"/>
      <w:marTop w:val="0"/>
      <w:marBottom w:val="0"/>
      <w:divBdr>
        <w:top w:val="none" w:sz="0" w:space="0" w:color="auto"/>
        <w:left w:val="none" w:sz="0" w:space="0" w:color="auto"/>
        <w:bottom w:val="none" w:sz="0" w:space="0" w:color="auto"/>
        <w:right w:val="none" w:sz="0" w:space="0" w:color="auto"/>
      </w:divBdr>
    </w:div>
    <w:div w:id="2102405674">
      <w:bodyDiv w:val="1"/>
      <w:marLeft w:val="0"/>
      <w:marRight w:val="0"/>
      <w:marTop w:val="0"/>
      <w:marBottom w:val="0"/>
      <w:divBdr>
        <w:top w:val="none" w:sz="0" w:space="0" w:color="auto"/>
        <w:left w:val="none" w:sz="0" w:space="0" w:color="auto"/>
        <w:bottom w:val="none" w:sz="0" w:space="0" w:color="auto"/>
        <w:right w:val="none" w:sz="0" w:space="0" w:color="auto"/>
      </w:divBdr>
    </w:div>
    <w:div w:id="21127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vlach\Application%20Data\Microsoft\&#928;&#961;&#972;&#964;&#965;&#960;&#945;\EIS_200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_________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______________Microsoft_Office_Excel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_________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_________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8.3147780440488428E-2"/>
          <c:y val="3.5947712418301025E-2"/>
          <c:w val="0.90446175967134546"/>
          <c:h val="0.79520971643250915"/>
        </c:manualLayout>
      </c:layout>
      <c:barChart>
        <c:barDir val="col"/>
        <c:grouping val="clustered"/>
        <c:ser>
          <c:idx val="0"/>
          <c:order val="0"/>
          <c:tx>
            <c:v>Ισοζύγιο αγαθών</c:v>
          </c:tx>
          <c:spPr>
            <a:noFill/>
            <a:ln>
              <a:solidFill>
                <a:schemeClr val="tx1"/>
              </a:solidFill>
            </a:ln>
          </c:spPr>
          <c:cat>
            <c:strRef>
              <c:f>Φύλλο3!$B$12:$V$12</c:f>
              <c:strCache>
                <c:ptCount val="21"/>
                <c:pt idx="0">
                  <c:v>2000 </c:v>
                </c:pt>
                <c:pt idx="1">
                  <c:v>2001 </c:v>
                </c:pt>
                <c:pt idx="2">
                  <c:v>2002 </c:v>
                </c:pt>
                <c:pt idx="3">
                  <c:v>2003 </c:v>
                </c:pt>
                <c:pt idx="4">
                  <c:v>2004 </c:v>
                </c:pt>
                <c:pt idx="5">
                  <c:v>2005 </c:v>
                </c:pt>
                <c:pt idx="6">
                  <c:v>2006 </c:v>
                </c:pt>
                <c:pt idx="7">
                  <c:v>2007 </c:v>
                </c:pt>
                <c:pt idx="8">
                  <c:v>2008 </c:v>
                </c:pt>
                <c:pt idx="9">
                  <c:v>2009 </c:v>
                </c:pt>
                <c:pt idx="10">
                  <c:v>2010 </c:v>
                </c:pt>
                <c:pt idx="11">
                  <c:v>2011 </c:v>
                </c:pt>
                <c:pt idx="12">
                  <c:v>2012 </c:v>
                </c:pt>
                <c:pt idx="13">
                  <c:v>2013 </c:v>
                </c:pt>
                <c:pt idx="14">
                  <c:v>2014 </c:v>
                </c:pt>
                <c:pt idx="15">
                  <c:v>2015 </c:v>
                </c:pt>
                <c:pt idx="16">
                  <c:v>2016 </c:v>
                </c:pt>
                <c:pt idx="17">
                  <c:v>2017 </c:v>
                </c:pt>
                <c:pt idx="18">
                  <c:v>2018 </c:v>
                </c:pt>
                <c:pt idx="19">
                  <c:v>2019*</c:v>
                </c:pt>
                <c:pt idx="20">
                  <c:v>2020*</c:v>
                </c:pt>
              </c:strCache>
            </c:strRef>
          </c:cat>
          <c:val>
            <c:numRef>
              <c:f>Φύλλο3!$B$14:$V$14</c:f>
              <c:numCache>
                <c:formatCode>0.0%</c:formatCode>
                <c:ptCount val="21"/>
                <c:pt idx="0">
                  <c:v>-0.162134645193</c:v>
                </c:pt>
                <c:pt idx="1">
                  <c:v>-0.15268332625603248</c:v>
                </c:pt>
                <c:pt idx="2">
                  <c:v>-0.15160904338096262</c:v>
                </c:pt>
                <c:pt idx="3">
                  <c:v>-0.16420916491855167</c:v>
                </c:pt>
                <c:pt idx="4">
                  <c:v>-0.15376146876841418</c:v>
                </c:pt>
                <c:pt idx="5">
                  <c:v>-0.14952981643689608</c:v>
                </c:pt>
                <c:pt idx="6">
                  <c:v>-0.16331300170120724</c:v>
                </c:pt>
                <c:pt idx="7">
                  <c:v>-0.18580234666114631</c:v>
                </c:pt>
                <c:pt idx="8">
                  <c:v>-0.18677985156270746</c:v>
                </c:pt>
                <c:pt idx="9">
                  <c:v>-0.1419359303379048</c:v>
                </c:pt>
                <c:pt idx="10">
                  <c:v>-0.13409498490044244</c:v>
                </c:pt>
                <c:pt idx="11">
                  <c:v>-0.12501986904336901</c:v>
                </c:pt>
                <c:pt idx="12">
                  <c:v>-0.10921737492822386</c:v>
                </c:pt>
                <c:pt idx="13">
                  <c:v>-9.8275829736168982E-2</c:v>
                </c:pt>
                <c:pt idx="14">
                  <c:v>-0.10771109058058428</c:v>
                </c:pt>
                <c:pt idx="15">
                  <c:v>-9.0889995555971548E-2</c:v>
                </c:pt>
                <c:pt idx="16">
                  <c:v>-9.3333839790853718E-2</c:v>
                </c:pt>
                <c:pt idx="17">
                  <c:v>-0.10303380697125079</c:v>
                </c:pt>
                <c:pt idx="18">
                  <c:v>-9.9310285089381445E-2</c:v>
                </c:pt>
                <c:pt idx="19">
                  <c:v>-0.10276376905854029</c:v>
                </c:pt>
                <c:pt idx="20">
                  <c:v>-0.1067167692705267</c:v>
                </c:pt>
              </c:numCache>
            </c:numRef>
          </c:val>
        </c:ser>
        <c:ser>
          <c:idx val="1"/>
          <c:order val="1"/>
          <c:tx>
            <c:v>Ισοζύγιο υπηρεσιών</c:v>
          </c:tx>
          <c:cat>
            <c:strRef>
              <c:f>Φύλλο3!$B$12:$V$12</c:f>
              <c:strCache>
                <c:ptCount val="21"/>
                <c:pt idx="0">
                  <c:v>2000 </c:v>
                </c:pt>
                <c:pt idx="1">
                  <c:v>2001 </c:v>
                </c:pt>
                <c:pt idx="2">
                  <c:v>2002 </c:v>
                </c:pt>
                <c:pt idx="3">
                  <c:v>2003 </c:v>
                </c:pt>
                <c:pt idx="4">
                  <c:v>2004 </c:v>
                </c:pt>
                <c:pt idx="5">
                  <c:v>2005 </c:v>
                </c:pt>
                <c:pt idx="6">
                  <c:v>2006 </c:v>
                </c:pt>
                <c:pt idx="7">
                  <c:v>2007 </c:v>
                </c:pt>
                <c:pt idx="8">
                  <c:v>2008 </c:v>
                </c:pt>
                <c:pt idx="9">
                  <c:v>2009 </c:v>
                </c:pt>
                <c:pt idx="10">
                  <c:v>2010 </c:v>
                </c:pt>
                <c:pt idx="11">
                  <c:v>2011 </c:v>
                </c:pt>
                <c:pt idx="12">
                  <c:v>2012 </c:v>
                </c:pt>
                <c:pt idx="13">
                  <c:v>2013 </c:v>
                </c:pt>
                <c:pt idx="14">
                  <c:v>2014 </c:v>
                </c:pt>
                <c:pt idx="15">
                  <c:v>2015 </c:v>
                </c:pt>
                <c:pt idx="16">
                  <c:v>2016 </c:v>
                </c:pt>
                <c:pt idx="17">
                  <c:v>2017 </c:v>
                </c:pt>
                <c:pt idx="18">
                  <c:v>2018 </c:v>
                </c:pt>
                <c:pt idx="19">
                  <c:v>2019*</c:v>
                </c:pt>
                <c:pt idx="20">
                  <c:v>2020*</c:v>
                </c:pt>
              </c:strCache>
            </c:strRef>
          </c:cat>
          <c:val>
            <c:numRef>
              <c:f>Φύλλο3!$B$16:$V$16</c:f>
              <c:numCache>
                <c:formatCode>0.0%</c:formatCode>
                <c:ptCount val="21"/>
                <c:pt idx="0">
                  <c:v>5.2348339090413927E-2</c:v>
                </c:pt>
                <c:pt idx="1">
                  <c:v>4.7058208679696172E-2</c:v>
                </c:pt>
                <c:pt idx="2">
                  <c:v>5.0376315479653967E-2</c:v>
                </c:pt>
                <c:pt idx="3">
                  <c:v>5.3200348510959006E-2</c:v>
                </c:pt>
                <c:pt idx="4">
                  <c:v>6.8937523521616931E-2</c:v>
                </c:pt>
                <c:pt idx="5">
                  <c:v>6.676567231280861E-2</c:v>
                </c:pt>
                <c:pt idx="6">
                  <c:v>5.8292886897303928E-2</c:v>
                </c:pt>
                <c:pt idx="7">
                  <c:v>6.0966070055939285E-2</c:v>
                </c:pt>
                <c:pt idx="8">
                  <c:v>6.071395390608475E-2</c:v>
                </c:pt>
                <c:pt idx="9">
                  <c:v>4.4139261186089525E-2</c:v>
                </c:pt>
                <c:pt idx="10">
                  <c:v>4.7853611563914523E-2</c:v>
                </c:pt>
                <c:pt idx="11">
                  <c:v>5.7285824631277703E-2</c:v>
                </c:pt>
                <c:pt idx="12">
                  <c:v>6.4722002563915984E-2</c:v>
                </c:pt>
                <c:pt idx="13">
                  <c:v>7.0152932388107034E-2</c:v>
                </c:pt>
                <c:pt idx="14">
                  <c:v>8.3677377352345608E-2</c:v>
                </c:pt>
                <c:pt idx="15">
                  <c:v>9.1404856344821608E-2</c:v>
                </c:pt>
                <c:pt idx="16">
                  <c:v>8.6209853344510853E-2</c:v>
                </c:pt>
                <c:pt idx="17">
                  <c:v>9.2836184690698251E-2</c:v>
                </c:pt>
                <c:pt idx="18">
                  <c:v>9.6700845631625607E-2</c:v>
                </c:pt>
                <c:pt idx="19">
                  <c:v>0.10255092440858021</c:v>
                </c:pt>
                <c:pt idx="20">
                  <c:v>0.10622055693265145</c:v>
                </c:pt>
              </c:numCache>
            </c:numRef>
          </c:val>
        </c:ser>
        <c:gapWidth val="75"/>
        <c:axId val="154002944"/>
        <c:axId val="154351104"/>
      </c:barChart>
      <c:lineChart>
        <c:grouping val="standard"/>
        <c:ser>
          <c:idx val="2"/>
          <c:order val="2"/>
          <c:tx>
            <c:v>Ισοζύγιο αγαθών και υπηρεσιών</c:v>
          </c:tx>
          <c:spPr>
            <a:ln>
              <a:solidFill>
                <a:srgbClr val="0070C0"/>
              </a:solidFill>
              <a:prstDash val="dash"/>
            </a:ln>
          </c:spPr>
          <c:marker>
            <c:symbol val="none"/>
          </c:marker>
          <c:cat>
            <c:strRef>
              <c:f>Φύλλο3!$B$12:$V$12</c:f>
              <c:strCache>
                <c:ptCount val="21"/>
                <c:pt idx="0">
                  <c:v>2000 </c:v>
                </c:pt>
                <c:pt idx="1">
                  <c:v>2001 </c:v>
                </c:pt>
                <c:pt idx="2">
                  <c:v>2002 </c:v>
                </c:pt>
                <c:pt idx="3">
                  <c:v>2003 </c:v>
                </c:pt>
                <c:pt idx="4">
                  <c:v>2004 </c:v>
                </c:pt>
                <c:pt idx="5">
                  <c:v>2005 </c:v>
                </c:pt>
                <c:pt idx="6">
                  <c:v>2006 </c:v>
                </c:pt>
                <c:pt idx="7">
                  <c:v>2007 </c:v>
                </c:pt>
                <c:pt idx="8">
                  <c:v>2008 </c:v>
                </c:pt>
                <c:pt idx="9">
                  <c:v>2009 </c:v>
                </c:pt>
                <c:pt idx="10">
                  <c:v>2010 </c:v>
                </c:pt>
                <c:pt idx="11">
                  <c:v>2011 </c:v>
                </c:pt>
                <c:pt idx="12">
                  <c:v>2012 </c:v>
                </c:pt>
                <c:pt idx="13">
                  <c:v>2013 </c:v>
                </c:pt>
                <c:pt idx="14">
                  <c:v>2014 </c:v>
                </c:pt>
                <c:pt idx="15">
                  <c:v>2015 </c:v>
                </c:pt>
                <c:pt idx="16">
                  <c:v>2016 </c:v>
                </c:pt>
                <c:pt idx="17">
                  <c:v>2017 </c:v>
                </c:pt>
                <c:pt idx="18">
                  <c:v>2018 </c:v>
                </c:pt>
                <c:pt idx="19">
                  <c:v>2019*</c:v>
                </c:pt>
                <c:pt idx="20">
                  <c:v>2020*</c:v>
                </c:pt>
              </c:strCache>
            </c:strRef>
          </c:cat>
          <c:val>
            <c:numRef>
              <c:f>Φύλλο3!$B$10:$V$10</c:f>
              <c:numCache>
                <c:formatCode>0.0%</c:formatCode>
                <c:ptCount val="21"/>
                <c:pt idx="0">
                  <c:v>-0.1097863061025852</c:v>
                </c:pt>
                <c:pt idx="1">
                  <c:v>-0.10562511757633702</c:v>
                </c:pt>
                <c:pt idx="2">
                  <c:v>-0.10123272790130806</c:v>
                </c:pt>
                <c:pt idx="3">
                  <c:v>-0.11100881640759198</c:v>
                </c:pt>
                <c:pt idx="4">
                  <c:v>-8.48239452467974E-2</c:v>
                </c:pt>
                <c:pt idx="5">
                  <c:v>-8.276414412408778E-2</c:v>
                </c:pt>
                <c:pt idx="6">
                  <c:v>-0.10502011480390309</c:v>
                </c:pt>
                <c:pt idx="7">
                  <c:v>-0.12483627660520724</c:v>
                </c:pt>
                <c:pt idx="8">
                  <c:v>-0.12606589765662191</c:v>
                </c:pt>
                <c:pt idx="9">
                  <c:v>-9.7796669151814619E-2</c:v>
                </c:pt>
                <c:pt idx="10">
                  <c:v>-8.6241373336527691E-2</c:v>
                </c:pt>
                <c:pt idx="11">
                  <c:v>-6.7734044412091826E-2</c:v>
                </c:pt>
                <c:pt idx="12">
                  <c:v>-4.4495372364307458E-2</c:v>
                </c:pt>
                <c:pt idx="13">
                  <c:v>-2.8122897348061473E-2</c:v>
                </c:pt>
                <c:pt idx="14">
                  <c:v>-2.4033713228238822E-2</c:v>
                </c:pt>
                <c:pt idx="15">
                  <c:v>5.1486078884964599E-4</c:v>
                </c:pt>
                <c:pt idx="16">
                  <c:v>-7.1239864463421496E-3</c:v>
                </c:pt>
                <c:pt idx="17">
                  <c:v>-1.0197622280551728E-2</c:v>
                </c:pt>
                <c:pt idx="18">
                  <c:v>-2.6094394577563461E-3</c:v>
                </c:pt>
                <c:pt idx="19">
                  <c:v>-2.1284464995968781E-4</c:v>
                </c:pt>
                <c:pt idx="20">
                  <c:v>-4.9621233787557062E-4</c:v>
                </c:pt>
              </c:numCache>
            </c:numRef>
          </c:val>
        </c:ser>
        <c:ser>
          <c:idx val="3"/>
          <c:order val="3"/>
          <c:tx>
            <c:v>Ισοζύγιο τρεχουσών συναλλαγών</c:v>
          </c:tx>
          <c:marker>
            <c:symbol val="square"/>
            <c:size val="4"/>
          </c:marker>
          <c:cat>
            <c:strRef>
              <c:f>Φύλλο3!$B$12:$V$12</c:f>
              <c:strCache>
                <c:ptCount val="21"/>
                <c:pt idx="0">
                  <c:v>2000 </c:v>
                </c:pt>
                <c:pt idx="1">
                  <c:v>2001 </c:v>
                </c:pt>
                <c:pt idx="2">
                  <c:v>2002 </c:v>
                </c:pt>
                <c:pt idx="3">
                  <c:v>2003 </c:v>
                </c:pt>
                <c:pt idx="4">
                  <c:v>2004 </c:v>
                </c:pt>
                <c:pt idx="5">
                  <c:v>2005 </c:v>
                </c:pt>
                <c:pt idx="6">
                  <c:v>2006 </c:v>
                </c:pt>
                <c:pt idx="7">
                  <c:v>2007 </c:v>
                </c:pt>
                <c:pt idx="8">
                  <c:v>2008 </c:v>
                </c:pt>
                <c:pt idx="9">
                  <c:v>2009 </c:v>
                </c:pt>
                <c:pt idx="10">
                  <c:v>2010 </c:v>
                </c:pt>
                <c:pt idx="11">
                  <c:v>2011 </c:v>
                </c:pt>
                <c:pt idx="12">
                  <c:v>2012 </c:v>
                </c:pt>
                <c:pt idx="13">
                  <c:v>2013 </c:v>
                </c:pt>
                <c:pt idx="14">
                  <c:v>2014 </c:v>
                </c:pt>
                <c:pt idx="15">
                  <c:v>2015 </c:v>
                </c:pt>
                <c:pt idx="16">
                  <c:v>2016 </c:v>
                </c:pt>
                <c:pt idx="17">
                  <c:v>2017 </c:v>
                </c:pt>
                <c:pt idx="18">
                  <c:v>2018 </c:v>
                </c:pt>
                <c:pt idx="19">
                  <c:v>2019*</c:v>
                </c:pt>
                <c:pt idx="20">
                  <c:v>2020*</c:v>
                </c:pt>
              </c:strCache>
            </c:strRef>
          </c:cat>
          <c:val>
            <c:numRef>
              <c:f>Φύλλο3!$B$20:$V$20</c:f>
              <c:numCache>
                <c:formatCode>0.0%</c:formatCode>
                <c:ptCount val="21"/>
                <c:pt idx="0">
                  <c:v>-9.0182349912365234E-2</c:v>
                </c:pt>
                <c:pt idx="1">
                  <c:v>-9.2674541338114244E-2</c:v>
                </c:pt>
                <c:pt idx="2">
                  <c:v>-8.8085861064570309E-2</c:v>
                </c:pt>
                <c:pt idx="3">
                  <c:v>-0.10962260584891681</c:v>
                </c:pt>
                <c:pt idx="4">
                  <c:v>-8.6873337140083745E-2</c:v>
                </c:pt>
                <c:pt idx="5">
                  <c:v>-9.5050710209550818E-2</c:v>
                </c:pt>
                <c:pt idx="6">
                  <c:v>-0.12299479602412502</c:v>
                </c:pt>
                <c:pt idx="7">
                  <c:v>-0.15583393448354541</c:v>
                </c:pt>
                <c:pt idx="8">
                  <c:v>-0.15849285744834987</c:v>
                </c:pt>
                <c:pt idx="9">
                  <c:v>-0.12512328344703091</c:v>
                </c:pt>
                <c:pt idx="10">
                  <c:v>-0.11338809214943332</c:v>
                </c:pt>
                <c:pt idx="11">
                  <c:v>-0.10290303039956145</c:v>
                </c:pt>
                <c:pt idx="12">
                  <c:v>-4.2340605727626518E-2</c:v>
                </c:pt>
                <c:pt idx="13">
                  <c:v>-2.2028374115805452E-2</c:v>
                </c:pt>
                <c:pt idx="14" formatCode="0.00%">
                  <c:v>-2.0759272794547291E-2</c:v>
                </c:pt>
                <c:pt idx="15">
                  <c:v>-2.6782185841698085E-3</c:v>
                </c:pt>
                <c:pt idx="16">
                  <c:v>-1.1685204451096099E-2</c:v>
                </c:pt>
                <c:pt idx="17">
                  <c:v>-1.0769153602128382E-2</c:v>
                </c:pt>
                <c:pt idx="18">
                  <c:v>-3.692194419480948E-3</c:v>
                </c:pt>
                <c:pt idx="19">
                  <c:v>8.3976488620077954E-4</c:v>
                </c:pt>
                <c:pt idx="20">
                  <c:v>1.5310028978945101E-3</c:v>
                </c:pt>
              </c:numCache>
            </c:numRef>
          </c:val>
        </c:ser>
        <c:marker val="1"/>
        <c:axId val="154002944"/>
        <c:axId val="154351104"/>
      </c:lineChart>
      <c:catAx>
        <c:axId val="154002944"/>
        <c:scaling>
          <c:orientation val="minMax"/>
        </c:scaling>
        <c:axPos val="b"/>
        <c:numFmt formatCode="General" sourceLinked="1"/>
        <c:majorTickMark val="none"/>
        <c:tickLblPos val="nextTo"/>
        <c:txPr>
          <a:bodyPr rot="0" vert="horz"/>
          <a:lstStyle/>
          <a:p>
            <a:pPr>
              <a:defRPr sz="700"/>
            </a:pPr>
            <a:endParaRPr lang="el-GR"/>
          </a:p>
        </c:txPr>
        <c:crossAx val="154351104"/>
        <c:crosses val="autoZero"/>
        <c:auto val="1"/>
        <c:lblAlgn val="ctr"/>
        <c:lblOffset val="100"/>
      </c:catAx>
      <c:valAx>
        <c:axId val="154351104"/>
        <c:scaling>
          <c:orientation val="minMax"/>
        </c:scaling>
        <c:axPos val="l"/>
        <c:numFmt formatCode="0%" sourceLinked="0"/>
        <c:majorTickMark val="none"/>
        <c:tickLblPos val="nextTo"/>
        <c:spPr>
          <a:ln w="9525">
            <a:noFill/>
          </a:ln>
        </c:spPr>
        <c:txPr>
          <a:bodyPr rot="0" vert="horz"/>
          <a:lstStyle/>
          <a:p>
            <a:pPr>
              <a:defRPr/>
            </a:pPr>
            <a:endParaRPr lang="el-GR"/>
          </a:p>
        </c:txPr>
        <c:crossAx val="154002944"/>
        <c:crosses val="autoZero"/>
        <c:crossBetween val="between"/>
      </c:valAx>
      <c:spPr>
        <a:effectLst/>
      </c:spPr>
    </c:plotArea>
    <c:legend>
      <c:legendPos val="b"/>
    </c:legend>
    <c:plotVisOnly val="1"/>
    <c:dispBlanksAs val="gap"/>
  </c:chart>
  <c:spPr>
    <a:ln>
      <a:noFill/>
    </a:ln>
  </c:spPr>
  <c:txPr>
    <a:bodyPr/>
    <a:lstStyle/>
    <a:p>
      <a:pPr>
        <a:defRPr sz="800" b="1" i="0" u="none" strike="noStrike" baseline="0">
          <a:solidFill>
            <a:srgbClr val="000000"/>
          </a:solidFill>
          <a:latin typeface="Arial Narrow" pitchFamily="34" charset="0"/>
          <a:ea typeface="Calibri"/>
          <a:cs typeface="Calibri"/>
        </a:defRPr>
      </a:pPr>
      <a:endParaRPr lang="el-G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8.7898003847441925E-2"/>
          <c:y val="7.6276311049354117E-2"/>
          <c:w val="0.82685389845557911"/>
          <c:h val="0.69680973701817406"/>
        </c:manualLayout>
      </c:layout>
      <c:areaChart>
        <c:grouping val="standard"/>
        <c:ser>
          <c:idx val="2"/>
          <c:order val="2"/>
          <c:tx>
            <c:strRef>
              <c:f>Φύλλο1!$A$4</c:f>
              <c:strCache>
                <c:ptCount val="1"/>
                <c:pt idx="0">
                  <c:v>Παραγωγικό κενό (δεξιά)</c:v>
                </c:pt>
              </c:strCache>
            </c:strRef>
          </c:tx>
          <c:spPr>
            <a:solidFill>
              <a:schemeClr val="bg1">
                <a:lumMod val="65000"/>
              </a:schemeClr>
            </a:solidFill>
          </c:spPr>
          <c:cat>
            <c:numRef>
              <c:f>Φύλλο1!$B$1:$L$1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Φύλλο1!$B$4:$L$4</c:f>
              <c:numCache>
                <c:formatCode>0.0</c:formatCode>
                <c:ptCount val="11"/>
                <c:pt idx="0">
                  <c:v>-4.7279699999999965</c:v>
                </c:pt>
                <c:pt idx="1">
                  <c:v>-11.426363</c:v>
                </c:pt>
                <c:pt idx="2">
                  <c:v>-15.494258</c:v>
                </c:pt>
                <c:pt idx="3">
                  <c:v>-15.901137</c:v>
                </c:pt>
                <c:pt idx="4">
                  <c:v>-13.378959</c:v>
                </c:pt>
                <c:pt idx="5">
                  <c:v>-12.105054000000004</c:v>
                </c:pt>
                <c:pt idx="6">
                  <c:v>-11.033165</c:v>
                </c:pt>
                <c:pt idx="7">
                  <c:v>-8.8855560000000793</c:v>
                </c:pt>
                <c:pt idx="8">
                  <c:v>-6.3998280000000003</c:v>
                </c:pt>
                <c:pt idx="9">
                  <c:v>-3.9957210000000001</c:v>
                </c:pt>
                <c:pt idx="10">
                  <c:v>-1.9045620000000001</c:v>
                </c:pt>
              </c:numCache>
            </c:numRef>
          </c:val>
        </c:ser>
        <c:axId val="85013632"/>
        <c:axId val="211545472"/>
      </c:areaChart>
      <c:barChart>
        <c:barDir val="col"/>
        <c:grouping val="clustered"/>
        <c:ser>
          <c:idx val="1"/>
          <c:order val="0"/>
          <c:tx>
            <c:strRef>
              <c:f>Φύλλο1!$A$3</c:f>
              <c:strCache>
                <c:ptCount val="1"/>
                <c:pt idx="0">
                  <c:v>Δυνητικό ΑΕΠ</c:v>
                </c:pt>
              </c:strCache>
            </c:strRef>
          </c:tx>
          <c:spPr>
            <a:solidFill>
              <a:schemeClr val="accent5">
                <a:lumMod val="75000"/>
              </a:schemeClr>
            </a:solidFill>
          </c:spPr>
          <c:cat>
            <c:numRef>
              <c:f>Φύλλο1!$B$1:$L$1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Φύλλο1!$B$3:$L$3</c:f>
              <c:numCache>
                <c:formatCode>General</c:formatCode>
                <c:ptCount val="11"/>
                <c:pt idx="0">
                  <c:v>237.2</c:v>
                </c:pt>
                <c:pt idx="1">
                  <c:v>231.9</c:v>
                </c:pt>
                <c:pt idx="2">
                  <c:v>225.3</c:v>
                </c:pt>
                <c:pt idx="3">
                  <c:v>219.1</c:v>
                </c:pt>
                <c:pt idx="4" formatCode="#,##0.0">
                  <c:v>214.3</c:v>
                </c:pt>
                <c:pt idx="5" formatCode="#,##0.0">
                  <c:v>210.2</c:v>
                </c:pt>
                <c:pt idx="6" formatCode="#,##0.0">
                  <c:v>207.3</c:v>
                </c:pt>
                <c:pt idx="7" formatCode="#,##0.0">
                  <c:v>205.5</c:v>
                </c:pt>
                <c:pt idx="8" formatCode="#,##0.0">
                  <c:v>203.9</c:v>
                </c:pt>
                <c:pt idx="9" formatCode="#,##0.0">
                  <c:v>203.2</c:v>
                </c:pt>
                <c:pt idx="10" formatCode="#,##0.0">
                  <c:v>203.2</c:v>
                </c:pt>
              </c:numCache>
            </c:numRef>
          </c:val>
        </c:ser>
        <c:ser>
          <c:idx val="0"/>
          <c:order val="1"/>
          <c:tx>
            <c:strRef>
              <c:f>Φύλλο1!$A$2</c:f>
              <c:strCache>
                <c:ptCount val="1"/>
                <c:pt idx="0">
                  <c:v>Πραγματικό ΑΕΠ</c:v>
                </c:pt>
              </c:strCache>
            </c:strRef>
          </c:tx>
          <c:spPr>
            <a:solidFill>
              <a:schemeClr val="accent6">
                <a:lumMod val="60000"/>
                <a:lumOff val="40000"/>
              </a:schemeClr>
            </a:solidFill>
          </c:spPr>
          <c:cat>
            <c:numRef>
              <c:f>Φύλλο1!$B$1:$L$1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Φύλλο1!$B$2:$L$2</c:f>
              <c:numCache>
                <c:formatCode>0.0_)</c:formatCode>
                <c:ptCount val="11"/>
                <c:pt idx="0">
                  <c:v>226</c:v>
                </c:pt>
                <c:pt idx="1">
                  <c:v>205.4</c:v>
                </c:pt>
                <c:pt idx="2">
                  <c:v>190.4</c:v>
                </c:pt>
                <c:pt idx="3">
                  <c:v>184.2</c:v>
                </c:pt>
                <c:pt idx="4" formatCode="#,##0.0">
                  <c:v>185.6</c:v>
                </c:pt>
                <c:pt idx="5" formatCode="#,##0.0">
                  <c:v>184.8</c:v>
                </c:pt>
                <c:pt idx="6" formatCode="#,##0.0">
                  <c:v>184.4</c:v>
                </c:pt>
                <c:pt idx="7" formatCode="#,##0.0">
                  <c:v>187.2</c:v>
                </c:pt>
                <c:pt idx="8" formatCode="#,##0.0">
                  <c:v>190.8</c:v>
                </c:pt>
                <c:pt idx="9" formatCode="#,##0.0">
                  <c:v>194.6</c:v>
                </c:pt>
                <c:pt idx="10" formatCode="#,##0.0">
                  <c:v>200.1</c:v>
                </c:pt>
              </c:numCache>
            </c:numRef>
          </c:val>
        </c:ser>
        <c:axId val="211485824"/>
        <c:axId val="211488128"/>
      </c:barChart>
      <c:catAx>
        <c:axId val="211485824"/>
        <c:scaling>
          <c:orientation val="minMax"/>
        </c:scaling>
        <c:axPos val="b"/>
        <c:numFmt formatCode="General" sourceLinked="1"/>
        <c:tickLblPos val="nextTo"/>
        <c:crossAx val="211488128"/>
        <c:crosses val="autoZero"/>
        <c:auto val="1"/>
        <c:lblAlgn val="ctr"/>
        <c:lblOffset val="100"/>
      </c:catAx>
      <c:valAx>
        <c:axId val="211488128"/>
        <c:scaling>
          <c:orientation val="minMax"/>
          <c:max val="240"/>
          <c:min val="0"/>
        </c:scaling>
        <c:axPos val="l"/>
        <c:majorGridlines>
          <c:spPr>
            <a:ln>
              <a:solidFill>
                <a:sysClr val="window" lastClr="FFFFFF"/>
              </a:solidFill>
            </a:ln>
          </c:spPr>
        </c:majorGridlines>
        <c:numFmt formatCode="General" sourceLinked="1"/>
        <c:tickLblPos val="nextTo"/>
        <c:spPr>
          <a:noFill/>
          <a:ln>
            <a:solidFill>
              <a:schemeClr val="tx1"/>
            </a:solidFill>
          </a:ln>
        </c:spPr>
        <c:crossAx val="211485824"/>
        <c:crosses val="autoZero"/>
        <c:crossBetween val="between"/>
        <c:majorUnit val="20"/>
      </c:valAx>
      <c:valAx>
        <c:axId val="211545472"/>
        <c:scaling>
          <c:orientation val="minMax"/>
        </c:scaling>
        <c:axPos val="r"/>
        <c:numFmt formatCode="0.0" sourceLinked="1"/>
        <c:tickLblPos val="nextTo"/>
        <c:crossAx val="85013632"/>
        <c:crosses val="max"/>
        <c:crossBetween val="between"/>
      </c:valAx>
      <c:catAx>
        <c:axId val="85013632"/>
        <c:scaling>
          <c:orientation val="minMax"/>
        </c:scaling>
        <c:delete val="1"/>
        <c:axPos val="b"/>
        <c:numFmt formatCode="General" sourceLinked="1"/>
        <c:tickLblPos val="none"/>
        <c:crossAx val="211545472"/>
        <c:crosses val="autoZero"/>
        <c:auto val="1"/>
        <c:lblAlgn val="ctr"/>
        <c:lblOffset val="100"/>
      </c:catAx>
    </c:plotArea>
    <c:legend>
      <c:legendPos val="b"/>
      <c:layout>
        <c:manualLayout>
          <c:xMode val="edge"/>
          <c:yMode val="edge"/>
          <c:x val="0.19111754947545503"/>
          <c:y val="0.86547099645331749"/>
          <c:w val="0.61776490104909065"/>
          <c:h val="5.6464991056446694E-2"/>
        </c:manualLayout>
      </c:layout>
    </c:legend>
    <c:plotVisOnly val="1"/>
    <c:dispBlanksAs val="gap"/>
  </c:chart>
  <c:spPr>
    <a:ln>
      <a:noFill/>
    </a:ln>
  </c:spPr>
  <c:txPr>
    <a:bodyPr/>
    <a:lstStyle/>
    <a:p>
      <a:pPr>
        <a:defRPr sz="800" b="1">
          <a:latin typeface="Arial Narrow" pitchFamily="34" charset="0"/>
        </a:defRPr>
      </a:pPr>
      <a:endParaRPr lang="el-G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l-GR"/>
  <c:style val="18"/>
  <c:chart>
    <c:plotArea>
      <c:layout>
        <c:manualLayout>
          <c:layoutTarget val="inner"/>
          <c:xMode val="edge"/>
          <c:yMode val="edge"/>
          <c:x val="7.0657277046649036E-2"/>
          <c:y val="2.1798376347079592E-2"/>
          <c:w val="0.88489826878789779"/>
          <c:h val="0.65010070163309897"/>
        </c:manualLayout>
      </c:layout>
      <c:lineChart>
        <c:grouping val="standard"/>
        <c:ser>
          <c:idx val="0"/>
          <c:order val="0"/>
          <c:tx>
            <c:strRef>
              <c:f>Table1!$EI$10</c:f>
              <c:strCache>
                <c:ptCount val="1"/>
                <c:pt idx="0">
                  <c:v>Δείκτης Οικονομικού Κλίματος (Ευρωζώνη) </c:v>
                </c:pt>
              </c:strCache>
            </c:strRef>
          </c:tx>
          <c:spPr>
            <a:ln w="31750"/>
          </c:spPr>
          <c:marker>
            <c:symbol val="star"/>
            <c:size val="5"/>
          </c:marker>
          <c:cat>
            <c:multiLvlStrRef>
              <c:f>Table1!$DV$7:$EG$8</c:f>
              <c:multiLvlStrCache>
                <c:ptCount val="10"/>
                <c:lvl>
                  <c:pt idx="0">
                    <c:v>Ιαν</c:v>
                  </c:pt>
                  <c:pt idx="1">
                    <c:v>Φεβ</c:v>
                  </c:pt>
                  <c:pt idx="2">
                    <c:v>Μαρ</c:v>
                  </c:pt>
                  <c:pt idx="3">
                    <c:v>Απρ</c:v>
                  </c:pt>
                  <c:pt idx="4">
                    <c:v>Μα</c:v>
                  </c:pt>
                  <c:pt idx="5">
                    <c:v>Ιουν</c:v>
                  </c:pt>
                  <c:pt idx="6">
                    <c:v>Ιουλ</c:v>
                  </c:pt>
                  <c:pt idx="7">
                    <c:v>Αυγ</c:v>
                  </c:pt>
                  <c:pt idx="8">
                    <c:v>Σεπ</c:v>
                  </c:pt>
                  <c:pt idx="9">
                    <c:v>Οκτ</c:v>
                  </c:pt>
                </c:lvl>
                <c:lvl>
                  <c:pt idx="0">
                    <c:v>2019</c:v>
                  </c:pt>
                </c:lvl>
              </c:multiLvlStrCache>
            </c:multiLvlStrRef>
          </c:cat>
          <c:val>
            <c:numRef>
              <c:f>Table1!$DV$10:$EE$10</c:f>
              <c:numCache>
                <c:formatCode>0.0</c:formatCode>
                <c:ptCount val="10"/>
                <c:pt idx="0">
                  <c:v>106.3</c:v>
                </c:pt>
                <c:pt idx="1">
                  <c:v>106.2</c:v>
                </c:pt>
                <c:pt idx="2">
                  <c:v>105.6</c:v>
                </c:pt>
                <c:pt idx="3">
                  <c:v>103.9</c:v>
                </c:pt>
                <c:pt idx="4">
                  <c:v>105.1</c:v>
                </c:pt>
                <c:pt idx="5">
                  <c:v>103.3</c:v>
                </c:pt>
                <c:pt idx="6">
                  <c:v>102.7</c:v>
                </c:pt>
                <c:pt idx="7">
                  <c:v>103.1</c:v>
                </c:pt>
                <c:pt idx="8">
                  <c:v>101.7</c:v>
                </c:pt>
                <c:pt idx="9">
                  <c:v>100.8</c:v>
                </c:pt>
              </c:numCache>
            </c:numRef>
          </c:val>
        </c:ser>
        <c:ser>
          <c:idx val="1"/>
          <c:order val="1"/>
          <c:tx>
            <c:strRef>
              <c:f>Table1!$EI$9</c:f>
              <c:strCache>
                <c:ptCount val="1"/>
                <c:pt idx="0">
                  <c:v> Δείκτης Οικονομικού Κλίματος - Ελλάδα</c:v>
                </c:pt>
              </c:strCache>
            </c:strRef>
          </c:tx>
          <c:spPr>
            <a:ln w="31750"/>
          </c:spPr>
          <c:marker>
            <c:symbol val="square"/>
            <c:size val="5"/>
          </c:marker>
          <c:cat>
            <c:multiLvlStrRef>
              <c:f>Table1!$DV$7:$EG$8</c:f>
              <c:multiLvlStrCache>
                <c:ptCount val="10"/>
                <c:lvl>
                  <c:pt idx="0">
                    <c:v>Ιαν</c:v>
                  </c:pt>
                  <c:pt idx="1">
                    <c:v>Φεβ</c:v>
                  </c:pt>
                  <c:pt idx="2">
                    <c:v>Μαρ</c:v>
                  </c:pt>
                  <c:pt idx="3">
                    <c:v>Απρ</c:v>
                  </c:pt>
                  <c:pt idx="4">
                    <c:v>Μα</c:v>
                  </c:pt>
                  <c:pt idx="5">
                    <c:v>Ιουν</c:v>
                  </c:pt>
                  <c:pt idx="6">
                    <c:v>Ιουλ</c:v>
                  </c:pt>
                  <c:pt idx="7">
                    <c:v>Αυγ</c:v>
                  </c:pt>
                  <c:pt idx="8">
                    <c:v>Σεπ</c:v>
                  </c:pt>
                  <c:pt idx="9">
                    <c:v>Οκτ</c:v>
                  </c:pt>
                </c:lvl>
                <c:lvl>
                  <c:pt idx="0">
                    <c:v>2019</c:v>
                  </c:pt>
                </c:lvl>
              </c:multiLvlStrCache>
            </c:multiLvlStrRef>
          </c:cat>
          <c:val>
            <c:numRef>
              <c:f>Table1!$DV$9:$EE$9</c:f>
              <c:numCache>
                <c:formatCode>0.0</c:formatCode>
                <c:ptCount val="10"/>
                <c:pt idx="0">
                  <c:v>99.6</c:v>
                </c:pt>
                <c:pt idx="1">
                  <c:v>101.3</c:v>
                </c:pt>
                <c:pt idx="2">
                  <c:v>101.3</c:v>
                </c:pt>
                <c:pt idx="3">
                  <c:v>100.3</c:v>
                </c:pt>
                <c:pt idx="4">
                  <c:v>100.8</c:v>
                </c:pt>
                <c:pt idx="5">
                  <c:v>101</c:v>
                </c:pt>
                <c:pt idx="6">
                  <c:v>105.3</c:v>
                </c:pt>
                <c:pt idx="7">
                  <c:v>108.4</c:v>
                </c:pt>
                <c:pt idx="8">
                  <c:v>107.2</c:v>
                </c:pt>
                <c:pt idx="9">
                  <c:v>106.7</c:v>
                </c:pt>
              </c:numCache>
            </c:numRef>
          </c:val>
        </c:ser>
        <c:marker val="1"/>
        <c:axId val="85060224"/>
        <c:axId val="85936768"/>
      </c:lineChart>
      <c:catAx>
        <c:axId val="85060224"/>
        <c:scaling>
          <c:orientation val="minMax"/>
        </c:scaling>
        <c:axPos val="b"/>
        <c:majorTickMark val="none"/>
        <c:tickLblPos val="nextTo"/>
        <c:crossAx val="85936768"/>
        <c:crosses val="autoZero"/>
        <c:auto val="1"/>
        <c:lblAlgn val="ctr"/>
        <c:lblOffset val="50"/>
        <c:tickLblSkip val="1"/>
      </c:catAx>
      <c:valAx>
        <c:axId val="85936768"/>
        <c:scaling>
          <c:orientation val="minMax"/>
        </c:scaling>
        <c:axPos val="l"/>
        <c:numFmt formatCode="0" sourceLinked="0"/>
        <c:majorTickMark val="none"/>
        <c:tickLblPos val="nextTo"/>
        <c:crossAx val="85060224"/>
        <c:crosses val="autoZero"/>
        <c:crossBetween val="between"/>
      </c:valAx>
    </c:plotArea>
    <c:legend>
      <c:legendPos val="b"/>
      <c:layout>
        <c:manualLayout>
          <c:xMode val="edge"/>
          <c:yMode val="edge"/>
          <c:x val="5.0000010936135895E-2"/>
          <c:y val="0.90005495937091606"/>
          <c:w val="0.89999993357595864"/>
          <c:h val="6.402244547017831E-2"/>
        </c:manualLayout>
      </c:layout>
      <c:txPr>
        <a:bodyPr/>
        <a:lstStyle/>
        <a:p>
          <a:pPr>
            <a:defRPr sz="700"/>
          </a:pPr>
          <a:endParaRPr lang="el-GR"/>
        </a:p>
      </c:txPr>
    </c:legend>
    <c:plotVisOnly val="1"/>
  </c:chart>
  <c:spPr>
    <a:ln>
      <a:noFill/>
    </a:ln>
  </c:spPr>
  <c:txPr>
    <a:bodyPr/>
    <a:lstStyle/>
    <a:p>
      <a:pPr>
        <a:defRPr sz="800" b="1">
          <a:latin typeface="Arial Narrow" pitchFamily="34" charset="0"/>
        </a:defRPr>
      </a:pPr>
      <a:endParaRPr lang="el-G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l-GR"/>
  <c:style val="3"/>
  <c:chart>
    <c:plotArea>
      <c:layout>
        <c:manualLayout>
          <c:layoutTarget val="inner"/>
          <c:xMode val="edge"/>
          <c:yMode val="edge"/>
          <c:x val="8.5854973358125058E-2"/>
          <c:y val="4.0391152686990457E-2"/>
          <c:w val="0.66819671312877182"/>
          <c:h val="0.86847051186895807"/>
        </c:manualLayout>
      </c:layout>
      <c:barChart>
        <c:barDir val="col"/>
        <c:grouping val="stacked"/>
        <c:ser>
          <c:idx val="0"/>
          <c:order val="0"/>
          <c:tx>
            <c:strRef>
              <c:f>Sheet1!$F$1</c:f>
              <c:strCache>
                <c:ptCount val="1"/>
                <c:pt idx="0">
                  <c:v>Στόχος πρωτογενούς αποτελέσματος</c:v>
                </c:pt>
              </c:strCache>
            </c:strRef>
          </c:tx>
          <c:dLbls>
            <c:txPr>
              <a:bodyPr/>
              <a:lstStyle/>
              <a:p>
                <a:pPr>
                  <a:defRPr baseline="0">
                    <a:solidFill>
                      <a:schemeClr val="bg1"/>
                    </a:solidFill>
                  </a:defRPr>
                </a:pPr>
                <a:endParaRPr lang="el-GR"/>
              </a:p>
            </c:txPr>
            <c:dLblPos val="inEnd"/>
            <c:showVal val="1"/>
          </c:dLbls>
          <c:cat>
            <c:numRef>
              <c:f>Sheet1!$A$2:$A$5</c:f>
              <c:numCache>
                <c:formatCode>General</c:formatCode>
                <c:ptCount val="4"/>
                <c:pt idx="0">
                  <c:v>2016</c:v>
                </c:pt>
                <c:pt idx="1">
                  <c:v>2017</c:v>
                </c:pt>
                <c:pt idx="2">
                  <c:v>2018</c:v>
                </c:pt>
                <c:pt idx="3">
                  <c:v>2019</c:v>
                </c:pt>
              </c:numCache>
            </c:numRef>
          </c:cat>
          <c:val>
            <c:numRef>
              <c:f>Sheet1!$F$2:$F$5</c:f>
              <c:numCache>
                <c:formatCode>0.00%</c:formatCode>
                <c:ptCount val="4"/>
                <c:pt idx="0">
                  <c:v>5.0000000000000114E-3</c:v>
                </c:pt>
                <c:pt idx="1">
                  <c:v>1.7500000000000005E-2</c:v>
                </c:pt>
                <c:pt idx="2">
                  <c:v>3.500000000000001E-2</c:v>
                </c:pt>
                <c:pt idx="3">
                  <c:v>3.500000000000001E-2</c:v>
                </c:pt>
              </c:numCache>
            </c:numRef>
          </c:val>
        </c:ser>
        <c:ser>
          <c:idx val="1"/>
          <c:order val="1"/>
          <c:tx>
            <c:strRef>
              <c:f>Sheet1!$G$1</c:f>
              <c:strCache>
                <c:ptCount val="1"/>
                <c:pt idx="0">
                  <c:v>Υπέρβαση στόχου πρωτογενούς αποτελέσματος</c:v>
                </c:pt>
              </c:strCache>
            </c:strRef>
          </c:tx>
          <c:dLbls>
            <c:dLbl>
              <c:idx val="0"/>
              <c:layout>
                <c:manualLayout>
                  <c:x val="-2.1282457423354851E-3"/>
                  <c:y val="-0.23397230913821371"/>
                </c:manualLayout>
              </c:layout>
              <c:dLblPos val="ctr"/>
              <c:showVal val="1"/>
            </c:dLbl>
            <c:dLbl>
              <c:idx val="1"/>
              <c:tx>
                <c:rich>
                  <a:bodyPr/>
                  <a:lstStyle/>
                  <a:p>
                    <a:r>
                      <a:rPr lang="en-US"/>
                      <a:t>2,39%</a:t>
                    </a:r>
                  </a:p>
                </c:rich>
              </c:tx>
              <c:dLblPos val="inEnd"/>
              <c:showVal val="1"/>
            </c:dLbl>
            <c:dLbl>
              <c:idx val="2"/>
              <c:tx>
                <c:rich>
                  <a:bodyPr/>
                  <a:lstStyle/>
                  <a:p>
                    <a:r>
                      <a:rPr lang="en-US"/>
                      <a:t>0,66%</a:t>
                    </a:r>
                  </a:p>
                </c:rich>
              </c:tx>
              <c:dLblPos val="inEnd"/>
              <c:showVal val="1"/>
            </c:dLbl>
            <c:dLbl>
              <c:idx val="3"/>
              <c:layout>
                <c:manualLayout>
                  <c:x val="2.1130480718437117E-3"/>
                  <c:y val="-2.9218717281124222E-4"/>
                </c:manualLayout>
              </c:layout>
              <c:tx>
                <c:rich>
                  <a:bodyPr/>
                  <a:lstStyle/>
                  <a:p>
                    <a:r>
                      <a:rPr lang="en-US"/>
                      <a:t>0,23%</a:t>
                    </a:r>
                  </a:p>
                </c:rich>
              </c:tx>
              <c:dLblPos val="ctr"/>
              <c:showVal val="1"/>
            </c:dLbl>
            <c:dLblPos val="inEnd"/>
            <c:showVal val="1"/>
          </c:dLbls>
          <c:cat>
            <c:numRef>
              <c:f>Sheet1!$A$2:$A$5</c:f>
              <c:numCache>
                <c:formatCode>General</c:formatCode>
                <c:ptCount val="4"/>
                <c:pt idx="0">
                  <c:v>2016</c:v>
                </c:pt>
                <c:pt idx="1">
                  <c:v>2017</c:v>
                </c:pt>
                <c:pt idx="2">
                  <c:v>2018</c:v>
                </c:pt>
                <c:pt idx="3">
                  <c:v>2019</c:v>
                </c:pt>
              </c:numCache>
            </c:numRef>
          </c:cat>
          <c:val>
            <c:numRef>
              <c:f>Sheet1!$G$2:$G$5</c:f>
              <c:numCache>
                <c:formatCode>0.00%</c:formatCode>
                <c:ptCount val="4"/>
                <c:pt idx="0">
                  <c:v>3.210000000000001E-2</c:v>
                </c:pt>
                <c:pt idx="1">
                  <c:v>2.3900000000000001E-2</c:v>
                </c:pt>
                <c:pt idx="2">
                  <c:v>6.6000000000000034E-3</c:v>
                </c:pt>
                <c:pt idx="3">
                  <c:v>2.2999999999999982E-3</c:v>
                </c:pt>
              </c:numCache>
            </c:numRef>
          </c:val>
        </c:ser>
        <c:dLbls>
          <c:showVal val="1"/>
        </c:dLbls>
        <c:gapWidth val="110"/>
        <c:overlap val="100"/>
        <c:axId val="85798272"/>
        <c:axId val="85836928"/>
      </c:barChart>
      <c:catAx>
        <c:axId val="85798272"/>
        <c:scaling>
          <c:orientation val="minMax"/>
        </c:scaling>
        <c:axPos val="b"/>
        <c:numFmt formatCode="General" sourceLinked="1"/>
        <c:tickLblPos val="nextTo"/>
        <c:crossAx val="85836928"/>
        <c:crosses val="autoZero"/>
        <c:auto val="1"/>
        <c:lblAlgn val="ctr"/>
        <c:lblOffset val="100"/>
      </c:catAx>
      <c:valAx>
        <c:axId val="85836928"/>
        <c:scaling>
          <c:orientation val="minMax"/>
        </c:scaling>
        <c:axPos val="l"/>
        <c:numFmt formatCode="0.00%" sourceLinked="1"/>
        <c:tickLblPos val="nextTo"/>
        <c:crossAx val="85798272"/>
        <c:crosses val="autoZero"/>
        <c:crossBetween val="between"/>
      </c:valAx>
    </c:plotArea>
    <c:legend>
      <c:legendPos val="r"/>
      <c:layout>
        <c:manualLayout>
          <c:xMode val="edge"/>
          <c:yMode val="edge"/>
          <c:x val="0.76552598225602064"/>
          <c:y val="0.38562091503268359"/>
          <c:w val="0.21292775665399241"/>
          <c:h val="0.44444444444444448"/>
        </c:manualLayout>
      </c:layout>
    </c:legend>
    <c:plotVisOnly val="1"/>
    <c:dispBlanksAs val="gap"/>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l-GR"/>
  <c:style val="3"/>
  <c:chart>
    <c:plotArea>
      <c:layout>
        <c:manualLayout>
          <c:layoutTarget val="inner"/>
          <c:xMode val="edge"/>
          <c:yMode val="edge"/>
          <c:x val="8.1349902352253367E-2"/>
          <c:y val="0.19480351414406533"/>
          <c:w val="0.67131975801603005"/>
          <c:h val="0.68921660834062359"/>
        </c:manualLayout>
      </c:layout>
      <c:barChart>
        <c:barDir val="col"/>
        <c:grouping val="stacked"/>
        <c:ser>
          <c:idx val="0"/>
          <c:order val="0"/>
          <c:tx>
            <c:strRef>
              <c:f>Sheet1!$C$1</c:f>
              <c:strCache>
                <c:ptCount val="1"/>
                <c:pt idx="0">
                  <c:v>Ρυθμός μεταβολής πραγματικού ΑΕΠ</c:v>
                </c:pt>
              </c:strCache>
            </c:strRef>
          </c:tx>
          <c:dLbls>
            <c:dLbl>
              <c:idx val="0"/>
              <c:layout>
                <c:manualLayout>
                  <c:x val="0"/>
                  <c:y val="5.8928838962646734E-3"/>
                </c:manualLayout>
              </c:layout>
              <c:dLblPos val="ctr"/>
              <c:showVal val="1"/>
            </c:dLbl>
            <c:txPr>
              <a:bodyPr/>
              <a:lstStyle/>
              <a:p>
                <a:pPr>
                  <a:defRPr sz="900" b="1" baseline="0">
                    <a:solidFill>
                      <a:schemeClr val="bg1"/>
                    </a:solidFill>
                  </a:defRPr>
                </a:pPr>
                <a:endParaRPr lang="el-GR"/>
              </a:p>
            </c:txPr>
            <c:dLblPos val="inEnd"/>
            <c:showVal val="1"/>
          </c:dLbls>
          <c:cat>
            <c:numRef>
              <c:f>Sheet1!$A$2:$A$5</c:f>
              <c:numCache>
                <c:formatCode>General</c:formatCode>
                <c:ptCount val="4"/>
                <c:pt idx="0">
                  <c:v>2016</c:v>
                </c:pt>
                <c:pt idx="1">
                  <c:v>2017</c:v>
                </c:pt>
                <c:pt idx="2">
                  <c:v>2018</c:v>
                </c:pt>
                <c:pt idx="3">
                  <c:v>2019</c:v>
                </c:pt>
              </c:numCache>
            </c:numRef>
          </c:cat>
          <c:val>
            <c:numRef>
              <c:f>Sheet1!$C$2:$C$5</c:f>
              <c:numCache>
                <c:formatCode>0.0%</c:formatCode>
                <c:ptCount val="4"/>
                <c:pt idx="0">
                  <c:v>-2.0000000000000052E-3</c:v>
                </c:pt>
                <c:pt idx="1">
                  <c:v>1.4999999999999998E-2</c:v>
                </c:pt>
                <c:pt idx="2">
                  <c:v>1.9000000000000052E-2</c:v>
                </c:pt>
                <c:pt idx="3">
                  <c:v>2.0000000000000011E-2</c:v>
                </c:pt>
              </c:numCache>
            </c:numRef>
          </c:val>
        </c:ser>
        <c:ser>
          <c:idx val="1"/>
          <c:order val="1"/>
          <c:tx>
            <c:strRef>
              <c:f>Sheet1!$B$1</c:f>
              <c:strCache>
                <c:ptCount val="1"/>
                <c:pt idx="0">
                  <c:v>Διαφορά σε σχέση με την εκτίμηση της Εισηγητικής Έκθεσης κάθε έτους</c:v>
                </c:pt>
              </c:strCache>
            </c:strRef>
          </c:tx>
          <c:dLbls>
            <c:txPr>
              <a:bodyPr/>
              <a:lstStyle/>
              <a:p>
                <a:pPr>
                  <a:defRPr sz="900" b="1"/>
                </a:pPr>
                <a:endParaRPr lang="el-GR"/>
              </a:p>
            </c:txPr>
            <c:dLblPos val="inEnd"/>
            <c:showVal val="1"/>
          </c:dLbls>
          <c:val>
            <c:numRef>
              <c:f>Sheet1!$B$2:$B$5</c:f>
              <c:numCache>
                <c:formatCode>0.0%</c:formatCode>
                <c:ptCount val="4"/>
                <c:pt idx="0">
                  <c:v>-5.0000000000000114E-3</c:v>
                </c:pt>
                <c:pt idx="1">
                  <c:v>1.2E-2</c:v>
                </c:pt>
                <c:pt idx="2">
                  <c:v>6.0000000000000114E-3</c:v>
                </c:pt>
                <c:pt idx="3">
                  <c:v>5.0000000000000114E-3</c:v>
                </c:pt>
              </c:numCache>
            </c:numRef>
          </c:val>
        </c:ser>
        <c:overlap val="100"/>
        <c:axId val="85948288"/>
        <c:axId val="85949824"/>
      </c:barChart>
      <c:catAx>
        <c:axId val="85948288"/>
        <c:scaling>
          <c:orientation val="minMax"/>
        </c:scaling>
        <c:axPos val="b"/>
        <c:numFmt formatCode="General" sourceLinked="1"/>
        <c:tickLblPos val="low"/>
        <c:crossAx val="85949824"/>
        <c:crosses val="autoZero"/>
        <c:auto val="1"/>
        <c:lblAlgn val="ctr"/>
        <c:lblOffset val="100"/>
      </c:catAx>
      <c:valAx>
        <c:axId val="85949824"/>
        <c:scaling>
          <c:orientation val="minMax"/>
        </c:scaling>
        <c:axPos val="l"/>
        <c:numFmt formatCode="0.0%" sourceLinked="1"/>
        <c:tickLblPos val="nextTo"/>
        <c:crossAx val="85948288"/>
        <c:crosses val="autoZero"/>
        <c:crossBetween val="between"/>
      </c:valAx>
    </c:plotArea>
    <c:legend>
      <c:legendPos val="r"/>
      <c:layout>
        <c:manualLayout>
          <c:xMode val="edge"/>
          <c:yMode val="edge"/>
          <c:x val="0.74778200253485816"/>
          <c:y val="0.15295815295815296"/>
          <c:w val="0.23827629911280218"/>
          <c:h val="0.79076479076479067"/>
        </c:manualLayout>
      </c:layout>
    </c:legend>
    <c:plotVisOnly val="1"/>
    <c:dispBlanksAs val="gap"/>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cdr:x>
      <cdr:y>0</cdr:y>
    </cdr:from>
    <cdr:to>
      <cdr:x>0.21905</cdr:x>
      <cdr:y>0.09526</cdr:y>
    </cdr:to>
    <cdr:sp macro="" textlink="">
      <cdr:nvSpPr>
        <cdr:cNvPr id="2" name="1 - TextBox"/>
        <cdr:cNvSpPr txBox="1"/>
      </cdr:nvSpPr>
      <cdr:spPr>
        <a:xfrm xmlns:a="http://schemas.openxmlformats.org/drawingml/2006/main">
          <a:off x="0" y="0"/>
          <a:ext cx="1314457" cy="3819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el-GR" sz="1000"/>
        </a:p>
      </cdr:txBody>
    </cdr:sp>
  </cdr:relSizeAnchor>
  <cdr:relSizeAnchor xmlns:cdr="http://schemas.openxmlformats.org/drawingml/2006/chartDrawing">
    <cdr:from>
      <cdr:x>0.77532</cdr:x>
      <cdr:y>0.00148</cdr:y>
    </cdr:from>
    <cdr:to>
      <cdr:x>0.89262</cdr:x>
      <cdr:y>0.076</cdr:y>
    </cdr:to>
    <cdr:sp macro="" textlink="">
      <cdr:nvSpPr>
        <cdr:cNvPr id="3" name="1 - TextBox"/>
        <cdr:cNvSpPr txBox="1"/>
      </cdr:nvSpPr>
      <cdr:spPr>
        <a:xfrm xmlns:a="http://schemas.openxmlformats.org/drawingml/2006/main">
          <a:off x="4977462" y="5739"/>
          <a:ext cx="753049" cy="2895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l-GR" sz="800" b="1">
              <a:latin typeface="Arial Narrow" pitchFamily="34" charset="0"/>
            </a:rPr>
            <a:t>% του δυνητικού</a:t>
          </a:r>
          <a:r>
            <a:rPr lang="el-GR" sz="800" b="1" baseline="0">
              <a:latin typeface="Arial Narrow" pitchFamily="34" charset="0"/>
            </a:rPr>
            <a:t> ΑΕΠ</a:t>
          </a:r>
          <a:endParaRPr lang="el-GR" sz="800" b="1">
            <a:latin typeface="Arial Narrow" pitchFamily="34" charset="0"/>
          </a:endParaRPr>
        </a:p>
      </cdr:txBody>
    </cdr:sp>
  </cdr:relSizeAnchor>
  <cdr:relSizeAnchor xmlns:cdr="http://schemas.openxmlformats.org/drawingml/2006/chartDrawing">
    <cdr:from>
      <cdr:x>0.7092</cdr:x>
      <cdr:y>0.26932</cdr:y>
    </cdr:from>
    <cdr:to>
      <cdr:x>0.71218</cdr:x>
      <cdr:y>0.77189</cdr:y>
    </cdr:to>
    <cdr:sp macro="" textlink="">
      <cdr:nvSpPr>
        <cdr:cNvPr id="4" name="3 - Ευθεία γραμμή σύνδεσης"/>
        <cdr:cNvSpPr/>
      </cdr:nvSpPr>
      <cdr:spPr>
        <a:xfrm xmlns:a="http://schemas.openxmlformats.org/drawingml/2006/main">
          <a:off x="4552950" y="1095375"/>
          <a:ext cx="19135" cy="2044057"/>
        </a:xfrm>
        <a:prstGeom xmlns:a="http://schemas.openxmlformats.org/drawingml/2006/main" prst="line">
          <a:avLst/>
        </a:prstGeom>
        <a:ln xmlns:a="http://schemas.openxmlformats.org/drawingml/2006/main">
          <a:solidFill>
            <a:schemeClr val="tx1"/>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l-GR"/>
        </a:p>
      </cdr:txBody>
    </cdr:sp>
  </cdr:relSizeAnchor>
  <cdr:relSizeAnchor xmlns:cdr="http://schemas.openxmlformats.org/drawingml/2006/chartDrawing">
    <cdr:from>
      <cdr:x>0.60902</cdr:x>
      <cdr:y>0.27885</cdr:y>
    </cdr:from>
    <cdr:to>
      <cdr:x>0.75338</cdr:x>
      <cdr:y>0.42067</cdr:y>
    </cdr:to>
    <cdr:sp macro="" textlink="">
      <cdr:nvSpPr>
        <cdr:cNvPr id="5" name="4 - TextBox"/>
        <cdr:cNvSpPr txBox="1"/>
      </cdr:nvSpPr>
      <cdr:spPr>
        <a:xfrm xmlns:a="http://schemas.openxmlformats.org/drawingml/2006/main">
          <a:off x="3857625" y="1104901"/>
          <a:ext cx="914400"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0.70475</cdr:x>
      <cdr:y>0.26834</cdr:y>
    </cdr:from>
    <cdr:to>
      <cdr:x>0.82897</cdr:x>
      <cdr:y>0.33724</cdr:y>
    </cdr:to>
    <cdr:sp macro="" textlink="">
      <cdr:nvSpPr>
        <cdr:cNvPr id="6" name="5 - TextBox"/>
        <cdr:cNvSpPr txBox="1"/>
      </cdr:nvSpPr>
      <cdr:spPr>
        <a:xfrm xmlns:a="http://schemas.openxmlformats.org/drawingml/2006/main">
          <a:off x="4524374" y="1091398"/>
          <a:ext cx="797499" cy="2802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800" b="1" i="1">
              <a:latin typeface="Arial Narrow" pitchFamily="34" charset="0"/>
            </a:rPr>
            <a:t>πρόβλεψη</a:t>
          </a:r>
        </a:p>
      </cdr:txBody>
    </cdr:sp>
  </cdr:relSizeAnchor>
  <cdr:relSizeAnchor xmlns:cdr="http://schemas.openxmlformats.org/drawingml/2006/chartDrawing">
    <cdr:from>
      <cdr:x>0.11128</cdr:x>
      <cdr:y>0.11298</cdr:y>
    </cdr:from>
    <cdr:to>
      <cdr:x>0.25564</cdr:x>
      <cdr:y>0.34375</cdr:y>
    </cdr:to>
    <cdr:sp macro="" textlink="">
      <cdr:nvSpPr>
        <cdr:cNvPr id="7" name="6 - TextBox"/>
        <cdr:cNvSpPr txBox="1"/>
      </cdr:nvSpPr>
      <cdr:spPr>
        <a:xfrm xmlns:a="http://schemas.openxmlformats.org/drawingml/2006/main">
          <a:off x="704850" y="44767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0.1001</cdr:x>
      <cdr:y>0.01899</cdr:y>
    </cdr:from>
    <cdr:to>
      <cdr:x>0.17471</cdr:x>
      <cdr:y>0.10505</cdr:y>
    </cdr:to>
    <cdr:sp macro="" textlink="">
      <cdr:nvSpPr>
        <cdr:cNvPr id="8" name="7 - TextBox"/>
        <cdr:cNvSpPr txBox="1"/>
      </cdr:nvSpPr>
      <cdr:spPr>
        <a:xfrm xmlns:a="http://schemas.openxmlformats.org/drawingml/2006/main">
          <a:off x="642652" y="73813"/>
          <a:ext cx="478985" cy="3344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l-GR" sz="800" b="1">
              <a:latin typeface="Arial Narrow" pitchFamily="34" charset="0"/>
            </a:rPr>
            <a:t>δισ.ευρώ</a:t>
          </a:r>
        </a:p>
      </cdr:txBody>
    </cdr:sp>
  </cdr:relSizeAnchor>
  <cdr:relSizeAnchor xmlns:cdr="http://schemas.openxmlformats.org/drawingml/2006/chartDrawing">
    <cdr:from>
      <cdr:x>0.19549</cdr:x>
      <cdr:y>0.0828</cdr:y>
    </cdr:from>
    <cdr:to>
      <cdr:x>0.73083</cdr:x>
      <cdr:y>0.16561</cdr:y>
    </cdr:to>
    <cdr:sp macro="" textlink="">
      <cdr:nvSpPr>
        <cdr:cNvPr id="9" name="8 - TextBox"/>
        <cdr:cNvSpPr txBox="1"/>
      </cdr:nvSpPr>
      <cdr:spPr>
        <a:xfrm xmlns:a="http://schemas.openxmlformats.org/drawingml/2006/main">
          <a:off x="1238250" y="371475"/>
          <a:ext cx="3390900" cy="371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0.63609</cdr:x>
      <cdr:y>0.18478</cdr:y>
    </cdr:from>
    <cdr:to>
      <cdr:x>0.75339</cdr:x>
      <cdr:y>0.2593</cdr:y>
    </cdr:to>
    <cdr:sp macro="" textlink="">
      <cdr:nvSpPr>
        <cdr:cNvPr id="11" name="1 - TextBox"/>
        <cdr:cNvSpPr txBox="1"/>
      </cdr:nvSpPr>
      <cdr:spPr>
        <a:xfrm xmlns:a="http://schemas.openxmlformats.org/drawingml/2006/main">
          <a:off x="4029053" y="772643"/>
          <a:ext cx="742992" cy="31160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l-GR" sz="1000"/>
        </a:p>
      </cdr:txBody>
    </cdr:sp>
  </cdr:relSizeAnchor>
  <cdr:relSizeAnchor xmlns:cdr="http://schemas.openxmlformats.org/drawingml/2006/chartDrawing">
    <cdr:from>
      <cdr:x>0.60902</cdr:x>
      <cdr:y>0.27885</cdr:y>
    </cdr:from>
    <cdr:to>
      <cdr:x>0.75338</cdr:x>
      <cdr:y>0.42067</cdr:y>
    </cdr:to>
    <cdr:sp macro="" textlink="">
      <cdr:nvSpPr>
        <cdr:cNvPr id="13" name="4 - TextBox"/>
        <cdr:cNvSpPr txBox="1"/>
      </cdr:nvSpPr>
      <cdr:spPr>
        <a:xfrm xmlns:a="http://schemas.openxmlformats.org/drawingml/2006/main">
          <a:off x="3857625" y="1104901"/>
          <a:ext cx="914400" cy="5619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l-GR" sz="1100"/>
        </a:p>
      </cdr:txBody>
    </cdr:sp>
  </cdr:relSizeAnchor>
  <cdr:relSizeAnchor xmlns:cdr="http://schemas.openxmlformats.org/drawingml/2006/chartDrawing">
    <cdr:from>
      <cdr:x>0.15489</cdr:x>
      <cdr:y>0.17999</cdr:y>
    </cdr:from>
    <cdr:to>
      <cdr:x>0.36241</cdr:x>
      <cdr:y>0.27134</cdr:y>
    </cdr:to>
    <cdr:sp macro="" textlink="">
      <cdr:nvSpPr>
        <cdr:cNvPr id="16" name="7 - TextBox"/>
        <cdr:cNvSpPr txBox="1"/>
      </cdr:nvSpPr>
      <cdr:spPr>
        <a:xfrm xmlns:a="http://schemas.openxmlformats.org/drawingml/2006/main">
          <a:off x="981088" y="807484"/>
          <a:ext cx="1314458" cy="40982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l-GR" sz="1000"/>
        </a:p>
      </cdr:txBody>
    </cdr:sp>
  </cdr:relSizeAnchor>
  <cdr:relSizeAnchor xmlns:cdr="http://schemas.openxmlformats.org/drawingml/2006/chartDrawing">
    <cdr:from>
      <cdr:x>0.19549</cdr:x>
      <cdr:y>0.0828</cdr:y>
    </cdr:from>
    <cdr:to>
      <cdr:x>0.73083</cdr:x>
      <cdr:y>0.1007</cdr:y>
    </cdr:to>
    <cdr:sp macro="" textlink="">
      <cdr:nvSpPr>
        <cdr:cNvPr id="17" name="8 - TextBox"/>
        <cdr:cNvSpPr txBox="1"/>
      </cdr:nvSpPr>
      <cdr:spPr>
        <a:xfrm xmlns:a="http://schemas.openxmlformats.org/drawingml/2006/main">
          <a:off x="1255016" y="336763"/>
          <a:ext cx="3436803" cy="7281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l-GR" sz="1100"/>
        </a:p>
      </cdr:txBody>
    </cdr:sp>
  </cdr:relSizeAnchor>
</c:userShapes>
</file>

<file path=word/drawings/drawing2.xml><?xml version="1.0" encoding="utf-8"?>
<c:userShapes xmlns:c="http://schemas.openxmlformats.org/drawingml/2006/chart">
  <cdr:relSizeAnchor xmlns:cdr="http://schemas.openxmlformats.org/drawingml/2006/chartDrawing">
    <cdr:from>
      <cdr:x>0.12154</cdr:x>
      <cdr:y>0.11413</cdr:y>
    </cdr:from>
    <cdr:to>
      <cdr:x>0.22188</cdr:x>
      <cdr:y>0.18659</cdr:y>
    </cdr:to>
    <cdr:sp macro="" textlink="">
      <cdr:nvSpPr>
        <cdr:cNvPr id="3" name="TextBox 2"/>
        <cdr:cNvSpPr txBox="1"/>
      </cdr:nvSpPr>
      <cdr:spPr>
        <a:xfrm xmlns:a="http://schemas.openxmlformats.org/drawingml/2006/main">
          <a:off x="666826" y="366197"/>
          <a:ext cx="550505" cy="2324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100" b="1"/>
            <a:t>3,71%</a:t>
          </a:r>
        </a:p>
      </cdr:txBody>
    </cdr:sp>
  </cdr:relSizeAnchor>
  <cdr:relSizeAnchor xmlns:cdr="http://schemas.openxmlformats.org/drawingml/2006/chartDrawing">
    <cdr:from>
      <cdr:x>0.45621</cdr:x>
      <cdr:y>0.03309</cdr:y>
    </cdr:from>
    <cdr:to>
      <cdr:x>0.58025</cdr:x>
      <cdr:y>0.08943</cdr:y>
    </cdr:to>
    <cdr:sp macro="" textlink="">
      <cdr:nvSpPr>
        <cdr:cNvPr id="4" name="TextBox 1"/>
        <cdr:cNvSpPr txBox="1"/>
      </cdr:nvSpPr>
      <cdr:spPr>
        <a:xfrm xmlns:a="http://schemas.openxmlformats.org/drawingml/2006/main">
          <a:off x="2502951" y="106174"/>
          <a:ext cx="680516" cy="1807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200" b="1"/>
            <a:t>4,</a:t>
          </a:r>
          <a:r>
            <a:rPr lang="en-US" sz="1200" b="1"/>
            <a:t>16</a:t>
          </a:r>
          <a:r>
            <a:rPr lang="el-GR" sz="1200" b="1"/>
            <a:t>%</a:t>
          </a:r>
        </a:p>
      </cdr:txBody>
    </cdr:sp>
  </cdr:relSizeAnchor>
  <cdr:relSizeAnchor xmlns:cdr="http://schemas.openxmlformats.org/drawingml/2006/chartDrawing">
    <cdr:from>
      <cdr:x>0.61969</cdr:x>
      <cdr:y>0.11582</cdr:y>
    </cdr:from>
    <cdr:to>
      <cdr:x>0.74228</cdr:x>
      <cdr:y>0.17239</cdr:y>
    </cdr:to>
    <cdr:sp macro="" textlink="">
      <cdr:nvSpPr>
        <cdr:cNvPr id="5" name="TextBox 1"/>
        <cdr:cNvSpPr txBox="1"/>
      </cdr:nvSpPr>
      <cdr:spPr>
        <a:xfrm xmlns:a="http://schemas.openxmlformats.org/drawingml/2006/main">
          <a:off x="3399867" y="371626"/>
          <a:ext cx="672600" cy="1815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200" b="1"/>
            <a:t>3,</a:t>
          </a:r>
          <a:r>
            <a:rPr lang="en-US" sz="1100" b="1"/>
            <a:t>73</a:t>
          </a:r>
          <a:r>
            <a:rPr lang="el-GR" sz="1200" b="1"/>
            <a:t>%</a:t>
          </a:r>
        </a:p>
      </cdr:txBody>
    </cdr:sp>
  </cdr:relSizeAnchor>
  <cdr:relSizeAnchor xmlns:cdr="http://schemas.openxmlformats.org/drawingml/2006/chartDrawing">
    <cdr:from>
      <cdr:x>0.29225</cdr:x>
      <cdr:y>0.04039</cdr:y>
    </cdr:from>
    <cdr:to>
      <cdr:x>0.41281</cdr:x>
      <cdr:y>0.09672</cdr:y>
    </cdr:to>
    <cdr:sp macro="" textlink="">
      <cdr:nvSpPr>
        <cdr:cNvPr id="6" name="TextBox 1"/>
        <cdr:cNvSpPr txBox="1"/>
      </cdr:nvSpPr>
      <cdr:spPr>
        <a:xfrm xmlns:a="http://schemas.openxmlformats.org/drawingml/2006/main">
          <a:off x="1603400" y="129598"/>
          <a:ext cx="661433" cy="1807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l-GR" sz="1100" b="1"/>
            <a:t>4,1</a:t>
          </a:r>
          <a:r>
            <a:rPr lang="en-US" sz="1200" b="1"/>
            <a:t>4</a:t>
          </a:r>
          <a:r>
            <a:rPr lang="el-GR" sz="1200" b="1"/>
            <a:t>%</a:t>
          </a:r>
        </a:p>
      </cdr:txBody>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CD88-BC25-4235-8833-5518D5D5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EIS_2005</Template>
  <TotalTime>45</TotalTime>
  <Pages>23</Pages>
  <Words>12023</Words>
  <Characters>64926</Characters>
  <Application>Microsoft Office Word</Application>
  <DocSecurity>0</DocSecurity>
  <Lines>541</Lines>
  <Paragraphs>153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mvlach</dc:creator>
  <cp:lastModifiedBy>mvlaxaki</cp:lastModifiedBy>
  <cp:revision>9</cp:revision>
  <cp:lastPrinted>2019-11-20T14:22:00Z</cp:lastPrinted>
  <dcterms:created xsi:type="dcterms:W3CDTF">2019-11-20T14:09:00Z</dcterms:created>
  <dcterms:modified xsi:type="dcterms:W3CDTF">2019-11-20T16:35:00Z</dcterms:modified>
</cp:coreProperties>
</file>